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D0" w:rsidRPr="00AB28D0" w:rsidRDefault="00C5762F" w:rsidP="00AB28D0">
      <w:pPr>
        <w:spacing w:after="240"/>
        <w:rPr>
          <w:rFonts w:ascii="Arial" w:hAnsi="Arial" w:cs="Arial"/>
          <w:b/>
          <w:bCs/>
          <w:sz w:val="32"/>
          <w:szCs w:val="28"/>
        </w:rPr>
      </w:pPr>
      <w:bookmarkStart w:id="0" w:name="_GoBack"/>
      <w:bookmarkEnd w:id="0"/>
      <w:r w:rsidRPr="00AB28D0">
        <w:rPr>
          <w:rFonts w:ascii="Arial" w:hAnsi="Arial" w:cs="Arial"/>
          <w:b/>
          <w:bCs/>
          <w:sz w:val="32"/>
          <w:szCs w:val="28"/>
        </w:rPr>
        <w:t xml:space="preserve">Case </w:t>
      </w:r>
      <w:r w:rsidR="00AB28D0" w:rsidRPr="00AB28D0">
        <w:rPr>
          <w:rFonts w:ascii="Arial" w:hAnsi="Arial" w:cs="Arial"/>
          <w:b/>
          <w:bCs/>
          <w:sz w:val="32"/>
          <w:szCs w:val="28"/>
        </w:rPr>
        <w:t>6.3</w:t>
      </w:r>
    </w:p>
    <w:p w:rsidR="00115DEF" w:rsidRPr="00AB28D0" w:rsidRDefault="009D3F94" w:rsidP="00AB28D0">
      <w:pPr>
        <w:spacing w:after="240"/>
        <w:rPr>
          <w:rFonts w:ascii="Arial" w:hAnsi="Arial" w:cs="Arial"/>
          <w:b/>
          <w:bCs/>
          <w:i/>
          <w:iCs/>
          <w:sz w:val="28"/>
          <w:szCs w:val="28"/>
        </w:rPr>
      </w:pPr>
      <w:r w:rsidRPr="00AB28D0">
        <w:rPr>
          <w:rFonts w:ascii="Arial" w:hAnsi="Arial" w:cs="Arial"/>
          <w:b/>
          <w:bCs/>
          <w:i/>
          <w:iCs/>
          <w:sz w:val="28"/>
          <w:szCs w:val="28"/>
        </w:rPr>
        <w:t>Social</w:t>
      </w:r>
      <w:r w:rsidR="0046326F" w:rsidRPr="00AB28D0">
        <w:rPr>
          <w:rFonts w:ascii="Arial" w:hAnsi="Arial" w:cs="Arial"/>
          <w:b/>
          <w:bCs/>
          <w:i/>
          <w:iCs/>
          <w:sz w:val="28"/>
          <w:szCs w:val="28"/>
        </w:rPr>
        <w:t xml:space="preserve"> </w:t>
      </w:r>
      <w:r w:rsidR="00C5762F" w:rsidRPr="00AB28D0">
        <w:rPr>
          <w:rFonts w:ascii="Arial" w:hAnsi="Arial" w:cs="Arial"/>
          <w:b/>
          <w:bCs/>
          <w:i/>
          <w:iCs/>
          <w:sz w:val="28"/>
          <w:szCs w:val="28"/>
        </w:rPr>
        <w:t xml:space="preserve">Investment </w:t>
      </w:r>
      <w:r w:rsidR="00185FBB" w:rsidRPr="00AB28D0">
        <w:rPr>
          <w:rFonts w:ascii="Arial" w:hAnsi="Arial" w:cs="Arial"/>
          <w:b/>
          <w:bCs/>
          <w:i/>
          <w:iCs/>
          <w:sz w:val="28"/>
          <w:szCs w:val="28"/>
        </w:rPr>
        <w:t xml:space="preserve">at </w:t>
      </w:r>
      <w:r w:rsidR="0046326F" w:rsidRPr="00AB28D0">
        <w:rPr>
          <w:rFonts w:ascii="Arial" w:hAnsi="Arial" w:cs="Arial"/>
          <w:b/>
          <w:bCs/>
          <w:i/>
          <w:iCs/>
          <w:sz w:val="28"/>
          <w:szCs w:val="28"/>
        </w:rPr>
        <w:t>Mondragon</w:t>
      </w:r>
    </w:p>
    <w:p w:rsidR="00C07570" w:rsidRPr="00AB28D0" w:rsidRDefault="0046326F" w:rsidP="00AB28D0">
      <w:pPr>
        <w:spacing w:before="120" w:after="240" w:line="276" w:lineRule="auto"/>
        <w:rPr>
          <w:i/>
        </w:rPr>
      </w:pPr>
      <w:r w:rsidRPr="00AB28D0">
        <w:rPr>
          <w:i/>
        </w:rPr>
        <w:t xml:space="preserve">The following </w:t>
      </w:r>
      <w:r w:rsidR="00E633B1" w:rsidRPr="00AB28D0">
        <w:rPr>
          <w:i/>
        </w:rPr>
        <w:t xml:space="preserve">account </w:t>
      </w:r>
      <w:r w:rsidRPr="00AB28D0">
        <w:rPr>
          <w:i/>
        </w:rPr>
        <w:t xml:space="preserve">is based on verbatim </w:t>
      </w:r>
      <w:r w:rsidR="00E633B1" w:rsidRPr="00AB28D0">
        <w:rPr>
          <w:i/>
        </w:rPr>
        <w:t xml:space="preserve">notes </w:t>
      </w:r>
      <w:r w:rsidR="00C5762F" w:rsidRPr="00AB28D0">
        <w:rPr>
          <w:i/>
        </w:rPr>
        <w:t xml:space="preserve">taken at </w:t>
      </w:r>
      <w:r w:rsidR="005A3DA6" w:rsidRPr="00AB28D0">
        <w:rPr>
          <w:i/>
        </w:rPr>
        <w:t xml:space="preserve">a seminar about </w:t>
      </w:r>
      <w:r w:rsidRPr="00AB28D0">
        <w:rPr>
          <w:i/>
        </w:rPr>
        <w:t xml:space="preserve">financial management arrangements and control structures </w:t>
      </w:r>
      <w:r w:rsidR="005A3DA6" w:rsidRPr="00AB28D0">
        <w:rPr>
          <w:i/>
        </w:rPr>
        <w:t xml:space="preserve">in </w:t>
      </w:r>
      <w:r w:rsidRPr="00AB28D0">
        <w:rPr>
          <w:i/>
        </w:rPr>
        <w:t>the M</w:t>
      </w:r>
      <w:r w:rsidR="00045F49" w:rsidRPr="00AB28D0">
        <w:rPr>
          <w:i/>
        </w:rPr>
        <w:t>ondragon Co</w:t>
      </w:r>
      <w:r w:rsidR="0064695E">
        <w:rPr>
          <w:i/>
        </w:rPr>
        <w:t>-</w:t>
      </w:r>
      <w:r w:rsidR="00045F49" w:rsidRPr="00AB28D0">
        <w:rPr>
          <w:i/>
        </w:rPr>
        <w:t>operative Corporation.</w:t>
      </w:r>
      <w:r w:rsidR="0064695E">
        <w:rPr>
          <w:i/>
        </w:rPr>
        <w:t xml:space="preserve"> </w:t>
      </w:r>
      <w:r w:rsidR="00045F49" w:rsidRPr="00AB28D0">
        <w:rPr>
          <w:i/>
        </w:rPr>
        <w:t xml:space="preserve">These were described </w:t>
      </w:r>
      <w:r w:rsidR="00C5762F" w:rsidRPr="00AB28D0">
        <w:rPr>
          <w:i/>
        </w:rPr>
        <w:t xml:space="preserve">to </w:t>
      </w:r>
      <w:r w:rsidR="00045F49" w:rsidRPr="00AB28D0">
        <w:rPr>
          <w:i/>
        </w:rPr>
        <w:t>Rory </w:t>
      </w:r>
      <w:r w:rsidRPr="00AB28D0">
        <w:rPr>
          <w:i/>
        </w:rPr>
        <w:t>Ridley-Duff</w:t>
      </w:r>
      <w:r w:rsidR="00C5762F" w:rsidRPr="00AB28D0">
        <w:rPr>
          <w:i/>
        </w:rPr>
        <w:t xml:space="preserve"> and</w:t>
      </w:r>
      <w:r w:rsidR="005A3DA6" w:rsidRPr="00AB28D0">
        <w:rPr>
          <w:i/>
        </w:rPr>
        <w:t xml:space="preserve"> John Cullen</w:t>
      </w:r>
      <w:r w:rsidRPr="00AB28D0">
        <w:rPr>
          <w:i/>
        </w:rPr>
        <w:t xml:space="preserve"> </w:t>
      </w:r>
      <w:r w:rsidR="00C5762F" w:rsidRPr="00AB28D0">
        <w:rPr>
          <w:i/>
        </w:rPr>
        <w:t xml:space="preserve">from Sheffield Hallam University, Peter </w:t>
      </w:r>
      <w:proofErr w:type="spellStart"/>
      <w:r w:rsidR="00C5762F" w:rsidRPr="00AB28D0">
        <w:rPr>
          <w:i/>
        </w:rPr>
        <w:t>Beeby</w:t>
      </w:r>
      <w:proofErr w:type="spellEnd"/>
      <w:r w:rsidR="00C5762F" w:rsidRPr="00AB28D0">
        <w:rPr>
          <w:i/>
        </w:rPr>
        <w:t xml:space="preserve"> and Rick Norris from School Trends Ltd. The seminar took place </w:t>
      </w:r>
      <w:r w:rsidRPr="00AB28D0">
        <w:rPr>
          <w:i/>
        </w:rPr>
        <w:t>on 5</w:t>
      </w:r>
      <w:r w:rsidR="005A3DA6" w:rsidRPr="00AB28D0">
        <w:rPr>
          <w:i/>
        </w:rPr>
        <w:t> </w:t>
      </w:r>
      <w:r w:rsidRPr="00AB28D0">
        <w:rPr>
          <w:i/>
        </w:rPr>
        <w:t xml:space="preserve">March 2003 at </w:t>
      </w:r>
      <w:proofErr w:type="spellStart"/>
      <w:r w:rsidR="00713DE8" w:rsidRPr="00AB28D0">
        <w:rPr>
          <w:i/>
        </w:rPr>
        <w:t>Otalora</w:t>
      </w:r>
      <w:proofErr w:type="spellEnd"/>
      <w:r w:rsidR="00C5762F" w:rsidRPr="00AB28D0">
        <w:rPr>
          <w:i/>
        </w:rPr>
        <w:t xml:space="preserve"> (</w:t>
      </w:r>
      <w:r w:rsidRPr="00AB28D0">
        <w:rPr>
          <w:i/>
        </w:rPr>
        <w:t xml:space="preserve">Mondragon Management </w:t>
      </w:r>
      <w:r w:rsidR="00C5762F" w:rsidRPr="00AB28D0">
        <w:rPr>
          <w:i/>
        </w:rPr>
        <w:t xml:space="preserve">Training </w:t>
      </w:r>
      <w:r w:rsidRPr="00AB28D0">
        <w:rPr>
          <w:i/>
        </w:rPr>
        <w:t>School</w:t>
      </w:r>
      <w:r w:rsidR="00C5762F" w:rsidRPr="00AB28D0">
        <w:rPr>
          <w:i/>
        </w:rPr>
        <w:t>)</w:t>
      </w:r>
      <w:r w:rsidRPr="00AB28D0">
        <w:rPr>
          <w:i/>
        </w:rPr>
        <w:t>.</w:t>
      </w:r>
      <w:r w:rsidR="00C5762F" w:rsidRPr="00AB28D0">
        <w:rPr>
          <w:i/>
        </w:rPr>
        <w:t>Translation services were provided by Fred </w:t>
      </w:r>
      <w:proofErr w:type="spellStart"/>
      <w:r w:rsidR="00C5762F" w:rsidRPr="00AB28D0">
        <w:rPr>
          <w:i/>
        </w:rPr>
        <w:t>Freundlich</w:t>
      </w:r>
      <w:proofErr w:type="spellEnd"/>
      <w:r w:rsidR="00C5762F" w:rsidRPr="00AB28D0">
        <w:rPr>
          <w:i/>
        </w:rPr>
        <w:t xml:space="preserve">, an academic </w:t>
      </w:r>
      <w:r w:rsidR="000133FB" w:rsidRPr="00AB28D0">
        <w:rPr>
          <w:i/>
        </w:rPr>
        <w:t xml:space="preserve">based </w:t>
      </w:r>
      <w:r w:rsidR="00C5762F" w:rsidRPr="00AB28D0">
        <w:rPr>
          <w:i/>
        </w:rPr>
        <w:t>at Mondragon University.</w:t>
      </w:r>
      <w:r w:rsidR="0064695E">
        <w:rPr>
          <w:i/>
        </w:rPr>
        <w:t xml:space="preserve"> </w:t>
      </w:r>
      <w:r w:rsidRPr="00AB28D0">
        <w:rPr>
          <w:i/>
        </w:rPr>
        <w:t xml:space="preserve">The diagram was </w:t>
      </w:r>
      <w:r w:rsidR="00C5762F" w:rsidRPr="00AB28D0">
        <w:rPr>
          <w:i/>
        </w:rPr>
        <w:t xml:space="preserve">developed </w:t>
      </w:r>
      <w:r w:rsidRPr="00AB28D0">
        <w:rPr>
          <w:i/>
        </w:rPr>
        <w:t xml:space="preserve">after the field trip to interpret </w:t>
      </w:r>
      <w:r w:rsidR="00C5762F" w:rsidRPr="00AB28D0">
        <w:rPr>
          <w:i/>
        </w:rPr>
        <w:t>this and other material</w:t>
      </w:r>
      <w:r w:rsidRPr="00AB28D0">
        <w:rPr>
          <w:i/>
        </w:rPr>
        <w:t>.</w:t>
      </w:r>
      <w:r w:rsidR="0064695E">
        <w:rPr>
          <w:i/>
        </w:rPr>
        <w:t xml:space="preserve"> </w:t>
      </w:r>
      <w:r w:rsidR="00C5762F" w:rsidRPr="00AB28D0">
        <w:rPr>
          <w:i/>
        </w:rPr>
        <w:t xml:space="preserve">It should be noted that </w:t>
      </w:r>
      <w:r w:rsidR="00C5762F" w:rsidRPr="00AB28D0">
        <w:rPr>
          <w:i/>
          <w:u w:val="single"/>
        </w:rPr>
        <w:t>all</w:t>
      </w:r>
      <w:r w:rsidR="00C5762F" w:rsidRPr="00AB28D0">
        <w:t xml:space="preserve"> </w:t>
      </w:r>
      <w:r w:rsidR="00C5762F" w:rsidRPr="00AB28D0">
        <w:rPr>
          <w:i/>
        </w:rPr>
        <w:t>the organisations shown on the diagram below are co</w:t>
      </w:r>
      <w:r w:rsidR="0064695E">
        <w:rPr>
          <w:i/>
        </w:rPr>
        <w:t>-</w:t>
      </w:r>
      <w:r w:rsidR="00C5762F" w:rsidRPr="00AB28D0">
        <w:rPr>
          <w:i/>
        </w:rPr>
        <w:t>operatives (based on one-person, one</w:t>
      </w:r>
      <w:r w:rsidR="0064695E">
        <w:rPr>
          <w:i/>
        </w:rPr>
        <w:t>-</w:t>
      </w:r>
      <w:r w:rsidR="00C5762F" w:rsidRPr="00AB28D0">
        <w:rPr>
          <w:i/>
        </w:rPr>
        <w:t>vote principles)</w:t>
      </w:r>
      <w:r w:rsidR="00210F49" w:rsidRPr="00AB28D0">
        <w:rPr>
          <w:i/>
        </w:rPr>
        <w:t>.</w:t>
      </w:r>
    </w:p>
    <w:p w:rsidR="00C07570" w:rsidRPr="00AB28D0" w:rsidRDefault="00C07570" w:rsidP="00AB28D0">
      <w:pPr>
        <w:spacing w:line="276" w:lineRule="auto"/>
      </w:pPr>
    </w:p>
    <w:p w:rsidR="00C07570" w:rsidRPr="00AB28D0" w:rsidRDefault="00E633B1" w:rsidP="00AB28D0">
      <w:pPr>
        <w:pStyle w:val="Heading3"/>
        <w:spacing w:before="0" w:line="276" w:lineRule="auto"/>
        <w:rPr>
          <w:rFonts w:ascii="Times New Roman" w:hAnsi="Times New Roman" w:cs="Times New Roman"/>
          <w:sz w:val="24"/>
          <w:szCs w:val="24"/>
        </w:rPr>
      </w:pPr>
      <w:r w:rsidRPr="00AB28D0">
        <w:rPr>
          <w:rFonts w:ascii="Times New Roman" w:hAnsi="Times New Roman" w:cs="Times New Roman"/>
          <w:sz w:val="24"/>
          <w:szCs w:val="24"/>
        </w:rPr>
        <w:t>Explanatory Note</w:t>
      </w:r>
      <w:r w:rsidR="00C07570" w:rsidRPr="00AB28D0">
        <w:rPr>
          <w:rFonts w:ascii="Times New Roman" w:hAnsi="Times New Roman" w:cs="Times New Roman"/>
          <w:sz w:val="24"/>
          <w:szCs w:val="24"/>
        </w:rPr>
        <w:t>:</w:t>
      </w:r>
    </w:p>
    <w:p w:rsidR="007876B3" w:rsidRPr="00AB28D0" w:rsidRDefault="007876B3" w:rsidP="00AB28D0">
      <w:pPr>
        <w:numPr>
          <w:ilvl w:val="0"/>
          <w:numId w:val="9"/>
        </w:numPr>
        <w:spacing w:after="60" w:line="276" w:lineRule="auto"/>
        <w:ind w:left="714" w:hanging="357"/>
      </w:pPr>
      <w:r w:rsidRPr="00AB28D0">
        <w:t>Individual co</w:t>
      </w:r>
      <w:r w:rsidR="0064695E">
        <w:t>-</w:t>
      </w:r>
      <w:r w:rsidRPr="00AB28D0">
        <w:t>op</w:t>
      </w:r>
      <w:r w:rsidR="00E633B1" w:rsidRPr="00AB28D0">
        <w:t>erative</w:t>
      </w:r>
      <w:r w:rsidRPr="00AB28D0">
        <w:t xml:space="preserve"> members </w:t>
      </w:r>
      <w:r w:rsidR="00E633B1" w:rsidRPr="00AB28D0">
        <w:t xml:space="preserve">buy </w:t>
      </w:r>
      <w:r w:rsidRPr="00AB28D0">
        <w:t>capital stakes in their co</w:t>
      </w:r>
      <w:r w:rsidR="0064695E">
        <w:t>-</w:t>
      </w:r>
      <w:r w:rsidRPr="00AB28D0">
        <w:t xml:space="preserve">operatives (funded with the help of the CLP if necessary). The stake typically </w:t>
      </w:r>
      <w:r w:rsidR="00045F49" w:rsidRPr="00AB28D0">
        <w:t xml:space="preserve">costs about </w:t>
      </w:r>
      <w:r w:rsidR="0064695E">
        <w:t>two</w:t>
      </w:r>
      <w:r w:rsidRPr="00AB28D0">
        <w:t xml:space="preserve"> month</w:t>
      </w:r>
      <w:r w:rsidR="00045F49" w:rsidRPr="00AB28D0">
        <w:t xml:space="preserve">s’ </w:t>
      </w:r>
      <w:r w:rsidRPr="00AB28D0">
        <w:t>salary.</w:t>
      </w:r>
    </w:p>
    <w:p w:rsidR="00850E18" w:rsidRPr="00AB28D0" w:rsidRDefault="00E633B1" w:rsidP="00AB28D0">
      <w:pPr>
        <w:numPr>
          <w:ilvl w:val="0"/>
          <w:numId w:val="9"/>
        </w:numPr>
        <w:spacing w:after="60" w:line="276" w:lineRule="auto"/>
        <w:ind w:left="714" w:hanging="357"/>
      </w:pPr>
      <w:r w:rsidRPr="00AB28D0">
        <w:t>C</w:t>
      </w:r>
      <w:r w:rsidR="007876B3" w:rsidRPr="00AB28D0">
        <w:t>o</w:t>
      </w:r>
      <w:r w:rsidR="0064695E">
        <w:t>-</w:t>
      </w:r>
      <w:r w:rsidR="007876B3" w:rsidRPr="00AB28D0">
        <w:t xml:space="preserve">operatives </w:t>
      </w:r>
      <w:r w:rsidRPr="00AB28D0">
        <w:t>federate</w:t>
      </w:r>
      <w:r w:rsidR="007876B3" w:rsidRPr="00AB28D0">
        <w:t xml:space="preserve"> </w:t>
      </w:r>
      <w:r w:rsidRPr="00AB28D0">
        <w:t xml:space="preserve">(i.e. create </w:t>
      </w:r>
      <w:proofErr w:type="spellStart"/>
      <w:r w:rsidRPr="00AB28D0">
        <w:t>sectoral</w:t>
      </w:r>
      <w:proofErr w:type="spellEnd"/>
      <w:r w:rsidRPr="00AB28D0">
        <w:t xml:space="preserve"> groups) </w:t>
      </w:r>
      <w:r w:rsidR="007876B3" w:rsidRPr="00AB28D0">
        <w:t xml:space="preserve">and </w:t>
      </w:r>
      <w:r w:rsidRPr="00AB28D0">
        <w:t xml:space="preserve">pay between 15–40% of their profits toward joint projects (marketing, branding, research). </w:t>
      </w:r>
      <w:r w:rsidR="00850E18" w:rsidRPr="00AB28D0">
        <w:t xml:space="preserve">Up to 45% of profits </w:t>
      </w:r>
      <w:r w:rsidR="00045F49" w:rsidRPr="00AB28D0">
        <w:t xml:space="preserve">(each year) </w:t>
      </w:r>
      <w:r w:rsidR="00850E18" w:rsidRPr="00AB28D0">
        <w:t xml:space="preserve">are allocated to individual </w:t>
      </w:r>
      <w:r w:rsidR="00045F49" w:rsidRPr="00AB28D0">
        <w:t xml:space="preserve">bank </w:t>
      </w:r>
      <w:r w:rsidR="00850E18" w:rsidRPr="00AB28D0">
        <w:t>accounts (paid out upon retirement or upon leaving the co</w:t>
      </w:r>
      <w:r w:rsidR="0064695E">
        <w:t>-</w:t>
      </w:r>
      <w:r w:rsidR="00850E18" w:rsidRPr="00AB28D0">
        <w:t>operative group).</w:t>
      </w:r>
      <w:r w:rsidR="00045F49" w:rsidRPr="00AB28D0">
        <w:t xml:space="preserve"> The CLP allows these funds to be reinvested in the business.</w:t>
      </w:r>
    </w:p>
    <w:p w:rsidR="007876B3" w:rsidRPr="00AB28D0" w:rsidRDefault="00E633B1" w:rsidP="00AB28D0">
      <w:pPr>
        <w:numPr>
          <w:ilvl w:val="0"/>
          <w:numId w:val="9"/>
        </w:numPr>
        <w:spacing w:after="60" w:line="276" w:lineRule="auto"/>
        <w:ind w:left="714" w:hanging="357"/>
      </w:pPr>
      <w:r w:rsidRPr="00AB28D0">
        <w:t xml:space="preserve">The </w:t>
      </w:r>
      <w:proofErr w:type="spellStart"/>
      <w:r w:rsidRPr="00AB28D0">
        <w:t>sectoral</w:t>
      </w:r>
      <w:proofErr w:type="spellEnd"/>
      <w:r w:rsidRPr="00AB28D0">
        <w:t xml:space="preserve"> group </w:t>
      </w:r>
      <w:r w:rsidR="00310A76" w:rsidRPr="00AB28D0">
        <w:t xml:space="preserve">calculates </w:t>
      </w:r>
      <w:r w:rsidRPr="00AB28D0">
        <w:t>profit</w:t>
      </w:r>
      <w:r w:rsidR="00310A76" w:rsidRPr="00AB28D0">
        <w:t>s</w:t>
      </w:r>
      <w:r w:rsidRPr="00AB28D0">
        <w:t>/loss</w:t>
      </w:r>
      <w:r w:rsidR="00310A76" w:rsidRPr="00AB28D0">
        <w:t>es</w:t>
      </w:r>
      <w:r w:rsidRPr="00AB28D0">
        <w:t xml:space="preserve"> to cushion the impact </w:t>
      </w:r>
      <w:r w:rsidR="00850E18" w:rsidRPr="00AB28D0">
        <w:t xml:space="preserve">on </w:t>
      </w:r>
      <w:r w:rsidRPr="00AB28D0">
        <w:t>individual co</w:t>
      </w:r>
      <w:r w:rsidR="0064695E">
        <w:t>-</w:t>
      </w:r>
      <w:r w:rsidRPr="00AB28D0">
        <w:t>operatives.  A proportion of losses (maximum 40%) can be borne by group fund</w:t>
      </w:r>
      <w:r w:rsidR="00850E18" w:rsidRPr="00AB28D0">
        <w:t>s</w:t>
      </w:r>
      <w:r w:rsidRPr="00AB28D0">
        <w:t xml:space="preserve">. The remainder must be borne by individual members (through deductions from their </w:t>
      </w:r>
      <w:r w:rsidR="00850E18" w:rsidRPr="00AB28D0">
        <w:t>capital stakes</w:t>
      </w:r>
      <w:r w:rsidRPr="00AB28D0">
        <w:t>).</w:t>
      </w:r>
    </w:p>
    <w:p w:rsidR="00E633B1" w:rsidRPr="00AB28D0" w:rsidRDefault="00E633B1" w:rsidP="00AB28D0">
      <w:pPr>
        <w:numPr>
          <w:ilvl w:val="0"/>
          <w:numId w:val="9"/>
        </w:numPr>
        <w:spacing w:after="60" w:line="276" w:lineRule="auto"/>
        <w:ind w:left="714" w:hanging="357"/>
      </w:pPr>
      <w:r w:rsidRPr="00AB28D0">
        <w:t xml:space="preserve">MCC Investments receives 10% of profits from the </w:t>
      </w:r>
      <w:proofErr w:type="spellStart"/>
      <w:r w:rsidRPr="00AB28D0">
        <w:t>sectoral</w:t>
      </w:r>
      <w:proofErr w:type="spellEnd"/>
      <w:r w:rsidRPr="00AB28D0">
        <w:t xml:space="preserve"> group for ‘high-risk’ projects.</w:t>
      </w:r>
    </w:p>
    <w:p w:rsidR="00E633B1" w:rsidRPr="00AB28D0" w:rsidRDefault="00E633B1" w:rsidP="00AB28D0">
      <w:pPr>
        <w:numPr>
          <w:ilvl w:val="0"/>
          <w:numId w:val="9"/>
        </w:numPr>
        <w:spacing w:after="60" w:line="276" w:lineRule="auto"/>
        <w:ind w:left="714" w:hanging="357"/>
      </w:pPr>
      <w:r w:rsidRPr="00AB28D0">
        <w:t xml:space="preserve">MCC Foundation receives 2% of </w:t>
      </w:r>
      <w:proofErr w:type="spellStart"/>
      <w:r w:rsidRPr="00AB28D0">
        <w:t>sectoral</w:t>
      </w:r>
      <w:proofErr w:type="spellEnd"/>
      <w:r w:rsidRPr="00AB28D0">
        <w:t xml:space="preserve"> group profits (in addition to 10% paid directly by individual cooperatives). About £20m a year is invested in educational and social projects.</w:t>
      </w:r>
    </w:p>
    <w:p w:rsidR="0046326F" w:rsidRPr="00AB28D0" w:rsidRDefault="0046326F" w:rsidP="00AB28D0">
      <w:pPr>
        <w:pStyle w:val="Heading3"/>
        <w:spacing w:line="276" w:lineRule="auto"/>
        <w:rPr>
          <w:rFonts w:ascii="Times New Roman" w:hAnsi="Times New Roman" w:cs="Times New Roman"/>
          <w:i/>
          <w:sz w:val="24"/>
          <w:szCs w:val="24"/>
        </w:rPr>
      </w:pPr>
      <w:r w:rsidRPr="00AB28D0">
        <w:rPr>
          <w:rFonts w:ascii="Times New Roman" w:hAnsi="Times New Roman" w:cs="Times New Roman"/>
          <w:sz w:val="24"/>
          <w:szCs w:val="24"/>
        </w:rPr>
        <w:t>Financial Controls</w:t>
      </w:r>
      <w:r w:rsidR="00C07570" w:rsidRPr="00AB28D0">
        <w:rPr>
          <w:rFonts w:ascii="Times New Roman" w:hAnsi="Times New Roman" w:cs="Times New Roman"/>
          <w:sz w:val="24"/>
          <w:szCs w:val="24"/>
        </w:rPr>
        <w:t xml:space="preserve"> </w:t>
      </w:r>
      <w:r w:rsidR="00310A76" w:rsidRPr="00AB28D0">
        <w:rPr>
          <w:rFonts w:ascii="Times New Roman" w:hAnsi="Times New Roman" w:cs="Times New Roman"/>
          <w:sz w:val="24"/>
          <w:szCs w:val="24"/>
        </w:rPr>
        <w:t>at Mondragon</w:t>
      </w:r>
      <w:r w:rsidR="00254733" w:rsidRPr="00AB28D0">
        <w:rPr>
          <w:rFonts w:ascii="Times New Roman" w:hAnsi="Times New Roman" w:cs="Times New Roman"/>
          <w:sz w:val="24"/>
          <w:szCs w:val="24"/>
        </w:rPr>
        <w:br/>
      </w:r>
      <w:r w:rsidR="00254733" w:rsidRPr="00AB28D0">
        <w:rPr>
          <w:rFonts w:ascii="Times New Roman" w:hAnsi="Times New Roman" w:cs="Times New Roman"/>
          <w:b w:val="0"/>
          <w:i/>
          <w:sz w:val="24"/>
          <w:szCs w:val="24"/>
        </w:rPr>
        <w:t>B</w:t>
      </w:r>
      <w:r w:rsidR="00C07570" w:rsidRPr="00AB28D0">
        <w:rPr>
          <w:rFonts w:ascii="Times New Roman" w:hAnsi="Times New Roman" w:cs="Times New Roman"/>
          <w:b w:val="0"/>
          <w:i/>
          <w:sz w:val="24"/>
          <w:szCs w:val="24"/>
        </w:rPr>
        <w:t>ased on journal notes</w:t>
      </w:r>
      <w:r w:rsidR="003369B2" w:rsidRPr="00AB28D0">
        <w:rPr>
          <w:rFonts w:ascii="Times New Roman" w:hAnsi="Times New Roman" w:cs="Times New Roman"/>
          <w:b w:val="0"/>
          <w:i/>
          <w:sz w:val="24"/>
          <w:szCs w:val="24"/>
        </w:rPr>
        <w:t xml:space="preserve"> from a field trip</w:t>
      </w:r>
      <w:r w:rsidR="00C07570" w:rsidRPr="00AB28D0">
        <w:rPr>
          <w:rFonts w:ascii="Times New Roman" w:hAnsi="Times New Roman" w:cs="Times New Roman"/>
          <w:b w:val="0"/>
          <w:i/>
          <w:sz w:val="24"/>
          <w:szCs w:val="24"/>
        </w:rPr>
        <w:t xml:space="preserve"> </w:t>
      </w:r>
      <w:r w:rsidR="003369B2" w:rsidRPr="00AB28D0">
        <w:rPr>
          <w:rFonts w:ascii="Times New Roman" w:hAnsi="Times New Roman" w:cs="Times New Roman"/>
          <w:b w:val="0"/>
          <w:i/>
          <w:sz w:val="24"/>
          <w:szCs w:val="24"/>
        </w:rPr>
        <w:t>(</w:t>
      </w:r>
      <w:r w:rsidR="00C07570" w:rsidRPr="00AB28D0">
        <w:rPr>
          <w:rFonts w:ascii="Times New Roman" w:hAnsi="Times New Roman" w:cs="Times New Roman"/>
          <w:b w:val="0"/>
          <w:i/>
          <w:sz w:val="24"/>
          <w:szCs w:val="24"/>
        </w:rPr>
        <w:t>5/6 March 2003)</w:t>
      </w:r>
    </w:p>
    <w:p w:rsidR="0046326F" w:rsidRPr="00AB28D0" w:rsidRDefault="0046326F" w:rsidP="00AB28D0">
      <w:pPr>
        <w:spacing w:line="276" w:lineRule="auto"/>
      </w:pPr>
    </w:p>
    <w:p w:rsidR="0046326F" w:rsidRPr="00AB28D0" w:rsidRDefault="0046326F" w:rsidP="00AB28D0">
      <w:pPr>
        <w:spacing w:line="276" w:lineRule="auto"/>
      </w:pPr>
      <w:r w:rsidRPr="00AB28D0">
        <w:t xml:space="preserve">We were introduced to the idea that the co-ops work in groups, and that they pool profits. This is to help each other in adversity, and to uphold the principle of solidarity. So the principle of solidarity is more important than under </w:t>
      </w:r>
      <w:proofErr w:type="gramStart"/>
      <w:r w:rsidRPr="00AB28D0">
        <w:t xml:space="preserve">capitalist </w:t>
      </w:r>
      <w:r w:rsidR="00200EEA" w:rsidRPr="00AB28D0">
        <w:t>arrangements (which is</w:t>
      </w:r>
      <w:proofErr w:type="gramEnd"/>
      <w:r w:rsidR="00200EEA" w:rsidRPr="00AB28D0">
        <w:t xml:space="preserve"> to </w:t>
      </w:r>
      <w:r w:rsidRPr="00AB28D0">
        <w:t>let a company collapse</w:t>
      </w:r>
      <w:r w:rsidR="00200EEA" w:rsidRPr="00AB28D0">
        <w:t>)</w:t>
      </w:r>
      <w:r w:rsidRPr="00AB28D0">
        <w:t>.</w:t>
      </w:r>
    </w:p>
    <w:p w:rsidR="0046326F" w:rsidRPr="00AB28D0" w:rsidRDefault="0046326F" w:rsidP="00AB28D0">
      <w:pPr>
        <w:spacing w:line="276" w:lineRule="auto"/>
      </w:pPr>
    </w:p>
    <w:p w:rsidR="0046326F" w:rsidRPr="00AB28D0" w:rsidRDefault="0046326F" w:rsidP="00AB28D0">
      <w:pPr>
        <w:spacing w:line="276" w:lineRule="auto"/>
      </w:pPr>
      <w:r w:rsidRPr="00AB28D0">
        <w:t xml:space="preserve">They did restructure themselves from geographical sectors into market-related sectors, and some functions were taken out of the bank and given to the </w:t>
      </w:r>
      <w:proofErr w:type="spellStart"/>
      <w:r w:rsidRPr="00AB28D0">
        <w:t>sectoral</w:t>
      </w:r>
      <w:proofErr w:type="spellEnd"/>
      <w:r w:rsidRPr="00AB28D0">
        <w:t xml:space="preserve"> groups so that they had more freedom in exercising them. So it was a way of decentralising. The profit pooling happens within </w:t>
      </w:r>
      <w:proofErr w:type="spellStart"/>
      <w:r w:rsidRPr="00AB28D0">
        <w:t>sectoral</w:t>
      </w:r>
      <w:proofErr w:type="spellEnd"/>
      <w:r w:rsidRPr="00AB28D0">
        <w:t xml:space="preserve"> groups, and they are staffed by representatives </w:t>
      </w:r>
      <w:r w:rsidR="008346E2" w:rsidRPr="00AB28D0">
        <w:t xml:space="preserve">of </w:t>
      </w:r>
      <w:r w:rsidRPr="00AB28D0">
        <w:t xml:space="preserve">the second-degree co-ops. The sorts of things that the </w:t>
      </w:r>
      <w:proofErr w:type="spellStart"/>
      <w:r w:rsidRPr="00AB28D0">
        <w:t>sectoral</w:t>
      </w:r>
      <w:proofErr w:type="spellEnd"/>
      <w:r w:rsidRPr="00AB28D0">
        <w:t xml:space="preserve"> groups can do are to share brand names, agree a whole set of integrated measures to support each other, and the amount of money that they contribute to group </w:t>
      </w:r>
      <w:r w:rsidR="008577A3" w:rsidRPr="00AB28D0">
        <w:t xml:space="preserve">funds </w:t>
      </w:r>
      <w:r w:rsidRPr="00AB28D0">
        <w:t>(between 15%</w:t>
      </w:r>
      <w:r w:rsidR="0064695E">
        <w:t>–</w:t>
      </w:r>
      <w:r w:rsidRPr="00AB28D0">
        <w:t xml:space="preserve">40%) is simply a reflection of the amount of integration that takes place. Some groups are quite loose, and do a lot of their own marketing and sales activities. But some are close knit </w:t>
      </w:r>
      <w:r w:rsidR="00D918E7" w:rsidRPr="00AB28D0">
        <w:t xml:space="preserve">and </w:t>
      </w:r>
      <w:r w:rsidRPr="00AB28D0">
        <w:t xml:space="preserve">put more money in so more work </w:t>
      </w:r>
      <w:r w:rsidR="00D918E7" w:rsidRPr="00AB28D0">
        <w:t xml:space="preserve">can be done </w:t>
      </w:r>
      <w:r w:rsidRPr="00AB28D0">
        <w:t xml:space="preserve">at the </w:t>
      </w:r>
      <w:proofErr w:type="spellStart"/>
      <w:r w:rsidRPr="00AB28D0">
        <w:t>sectoral</w:t>
      </w:r>
      <w:proofErr w:type="spellEnd"/>
      <w:r w:rsidRPr="00AB28D0">
        <w:t xml:space="preserve"> level. They contribute to the </w:t>
      </w:r>
      <w:proofErr w:type="spellStart"/>
      <w:r w:rsidRPr="00AB28D0">
        <w:t>sectoral</w:t>
      </w:r>
      <w:proofErr w:type="spellEnd"/>
      <w:r w:rsidRPr="00AB28D0">
        <w:t xml:space="preserve"> </w:t>
      </w:r>
      <w:r w:rsidR="009C79BF" w:rsidRPr="00AB28D0">
        <w:t>funds prior to implementing their own profit-</w:t>
      </w:r>
      <w:r w:rsidRPr="00AB28D0">
        <w:t xml:space="preserve">sharing arrangements.  </w:t>
      </w:r>
    </w:p>
    <w:p w:rsidR="0046326F" w:rsidRPr="00AB28D0" w:rsidRDefault="0046326F" w:rsidP="00AB28D0">
      <w:pPr>
        <w:spacing w:line="276" w:lineRule="auto"/>
      </w:pPr>
    </w:p>
    <w:p w:rsidR="0046326F" w:rsidRPr="00AB28D0" w:rsidRDefault="0046326F" w:rsidP="00AB28D0">
      <w:pPr>
        <w:spacing w:line="276" w:lineRule="auto"/>
      </w:pPr>
      <w:r w:rsidRPr="00AB28D0">
        <w:t xml:space="preserve">We then talked about the </w:t>
      </w:r>
      <w:r w:rsidR="008E6F85" w:rsidRPr="00AB28D0">
        <w:t xml:space="preserve">investment arms of the </w:t>
      </w:r>
      <w:r w:rsidR="00E3204E" w:rsidRPr="00AB28D0">
        <w:t>Mondragon Cooperative Corporation (</w:t>
      </w:r>
      <w:r w:rsidRPr="00AB28D0">
        <w:t>MCC</w:t>
      </w:r>
      <w:r w:rsidR="00E3204E" w:rsidRPr="00AB28D0">
        <w:t>)</w:t>
      </w:r>
      <w:r w:rsidRPr="00AB28D0">
        <w:t xml:space="preserve">. It has two: MCC Investments and the MCC Foundation. MCC Investments is like a venture capital fund, a for-profit entity trying to make money. MCC Foundation is a not-for-profit organisation. It can provide finance for profit-related activities but is not itself a profit-making body </w:t>
      </w:r>
      <w:r w:rsidR="002F25D7">
        <w:t>–</w:t>
      </w:r>
      <w:r w:rsidRPr="00AB28D0">
        <w:t xml:space="preserve"> it tries to spend all of its money. Beyond financing feasibility studies it does social and educational work.</w:t>
      </w:r>
    </w:p>
    <w:p w:rsidR="0046326F" w:rsidRPr="00AB28D0" w:rsidRDefault="0046326F" w:rsidP="00AB28D0">
      <w:pPr>
        <w:spacing w:line="276" w:lineRule="auto"/>
      </w:pPr>
    </w:p>
    <w:p w:rsidR="0046326F" w:rsidRPr="00AB28D0" w:rsidRDefault="0046326F" w:rsidP="00AB28D0">
      <w:pPr>
        <w:spacing w:line="276" w:lineRule="auto"/>
      </w:pPr>
      <w:r w:rsidRPr="00AB28D0">
        <w:t xml:space="preserve">We were given an example of how </w:t>
      </w:r>
      <w:proofErr w:type="spellStart"/>
      <w:r w:rsidRPr="00AB28D0">
        <w:t>sectoral</w:t>
      </w:r>
      <w:proofErr w:type="spellEnd"/>
      <w:r w:rsidRPr="00AB28D0">
        <w:t xml:space="preserve"> finances work. </w:t>
      </w:r>
      <w:r w:rsidR="002F25D7">
        <w:t>The lecturer</w:t>
      </w:r>
      <w:r w:rsidRPr="00AB28D0">
        <w:t xml:space="preserve"> gave an example o</w:t>
      </w:r>
      <w:r w:rsidR="00E3204E" w:rsidRPr="00AB28D0">
        <w:t xml:space="preserve">f trading results from </w:t>
      </w:r>
      <w:r w:rsidR="002F25D7">
        <w:t>three</w:t>
      </w:r>
      <w:r w:rsidR="00E3204E" w:rsidRPr="00AB28D0">
        <w:t xml:space="preserve"> co-ops: two that were profitable, </w:t>
      </w:r>
      <w:r w:rsidRPr="00AB28D0">
        <w:t xml:space="preserve">one </w:t>
      </w:r>
      <w:r w:rsidR="00C70A8A" w:rsidRPr="00AB28D0">
        <w:t xml:space="preserve">that </w:t>
      </w:r>
      <w:r w:rsidRPr="00AB28D0">
        <w:t xml:space="preserve">was not. They use labour costs to make an adjustment so that it is not </w:t>
      </w:r>
      <w:r w:rsidR="00C70A8A" w:rsidRPr="00AB28D0">
        <w:t xml:space="preserve">based on </w:t>
      </w:r>
      <w:r w:rsidRPr="00AB28D0">
        <w:t>raw trading results. In one example, there is a calculation that leads to a</w:t>
      </w:r>
      <w:r w:rsidR="00C70A8A" w:rsidRPr="00AB28D0">
        <w:t xml:space="preserve"> co-op making a £500,000 profit, then </w:t>
      </w:r>
      <w:r w:rsidRPr="00AB28D0">
        <w:t xml:space="preserve">having it adjusted to </w:t>
      </w:r>
      <w:r w:rsidR="00B21597" w:rsidRPr="00AB28D0">
        <w:t>£</w:t>
      </w:r>
      <w:r w:rsidRPr="00AB28D0">
        <w:t xml:space="preserve">600,000 because it has a </w:t>
      </w:r>
      <w:r w:rsidR="00C70A8A" w:rsidRPr="00AB28D0">
        <w:t xml:space="preserve">higher than average </w:t>
      </w:r>
      <w:r w:rsidRPr="00AB28D0">
        <w:t xml:space="preserve">labour costs.  </w:t>
      </w:r>
    </w:p>
    <w:p w:rsidR="0046326F" w:rsidRPr="00AB28D0" w:rsidRDefault="0046326F" w:rsidP="00AB28D0">
      <w:pPr>
        <w:spacing w:line="276" w:lineRule="auto"/>
      </w:pPr>
    </w:p>
    <w:p w:rsidR="0046326F" w:rsidRPr="00AB28D0" w:rsidRDefault="0046326F" w:rsidP="00AB28D0">
      <w:pPr>
        <w:spacing w:line="276" w:lineRule="auto"/>
      </w:pPr>
      <w:r w:rsidRPr="00AB28D0">
        <w:t xml:space="preserve">Equally, the co-ops that lose money can assign 40% of their losses into the group fund, but those that make a profit only put 20% of their profits in. The result of this is that a co-op that does badly does have to bear a bigger proportion of losses than the other companies have to commit profits. This is to some extent to penalise the co-op – or find a </w:t>
      </w:r>
      <w:r w:rsidR="00B21597" w:rsidRPr="00AB28D0">
        <w:t xml:space="preserve">fair </w:t>
      </w:r>
      <w:r w:rsidRPr="00AB28D0">
        <w:t>balance (</w:t>
      </w:r>
      <w:r w:rsidR="002F25D7">
        <w:t>‘</w:t>
      </w:r>
      <w:r w:rsidRPr="00AB28D0">
        <w:t>always the balance</w:t>
      </w:r>
      <w:r w:rsidR="002F25D7">
        <w:t>’</w:t>
      </w:r>
      <w:r w:rsidRPr="00AB28D0">
        <w:t xml:space="preserve"> </w:t>
      </w:r>
      <w:r w:rsidR="00B21597" w:rsidRPr="00AB28D0">
        <w:t>they kept saying</w:t>
      </w:r>
      <w:r w:rsidRPr="00AB28D0">
        <w:t>) – but they adju</w:t>
      </w:r>
      <w:r w:rsidR="00B21597" w:rsidRPr="00AB28D0">
        <w:t>st the profits across the group. The (</w:t>
      </w:r>
      <w:proofErr w:type="spellStart"/>
      <w:r w:rsidR="00B21597" w:rsidRPr="00AB28D0">
        <w:t>sectoral</w:t>
      </w:r>
      <w:proofErr w:type="spellEnd"/>
      <w:r w:rsidR="00B21597" w:rsidRPr="00AB28D0">
        <w:t xml:space="preserve">) group’s profits are </w:t>
      </w:r>
      <w:r w:rsidRPr="00AB28D0">
        <w:t xml:space="preserve">reported to the tax authorities because the total income across all co-ops is the same as the raw profit. The tax authorities based in the Basque region </w:t>
      </w:r>
      <w:r w:rsidR="00921D63" w:rsidRPr="00AB28D0">
        <w:t>allow this flexibility</w:t>
      </w:r>
      <w:r w:rsidRPr="00AB28D0">
        <w:t>.</w:t>
      </w:r>
    </w:p>
    <w:p w:rsidR="0046326F" w:rsidRPr="00AB28D0" w:rsidRDefault="0046326F" w:rsidP="00AB28D0">
      <w:pPr>
        <w:spacing w:line="276" w:lineRule="auto"/>
      </w:pPr>
    </w:p>
    <w:p w:rsidR="0046326F" w:rsidRPr="00AB28D0" w:rsidRDefault="0046326F" w:rsidP="00AB28D0">
      <w:pPr>
        <w:spacing w:line="276" w:lineRule="auto"/>
      </w:pPr>
      <w:r w:rsidRPr="00AB28D0">
        <w:t xml:space="preserve">Now </w:t>
      </w:r>
      <w:r w:rsidR="007137F8" w:rsidRPr="00AB28D0">
        <w:t xml:space="preserve">this </w:t>
      </w:r>
      <w:r w:rsidRPr="00AB28D0">
        <w:t xml:space="preserve">model is interesting because clearly the stronger co-ops help reduce the losses of the co-ops that are not doing so well. There is an issue of solidarity here – solidarity </w:t>
      </w:r>
      <w:r w:rsidR="002F25D7">
        <w:t xml:space="preserve">not only </w:t>
      </w:r>
      <w:r w:rsidRPr="00AB28D0">
        <w:t>at the co-op level, but also at the individual level. By supporting or cushioning the losses of fellow co-operative enterprises they are, of course, reducing the amount of money tha</w:t>
      </w:r>
      <w:r w:rsidR="00B21597" w:rsidRPr="00AB28D0">
        <w:t>t has to come out of individual capital</w:t>
      </w:r>
      <w:r w:rsidRPr="00AB28D0">
        <w:t xml:space="preserve"> accounts to cover the losses.</w:t>
      </w:r>
    </w:p>
    <w:p w:rsidR="0046326F" w:rsidRPr="00AB28D0" w:rsidRDefault="0046326F" w:rsidP="00AB28D0">
      <w:pPr>
        <w:spacing w:line="276" w:lineRule="auto"/>
      </w:pPr>
    </w:p>
    <w:p w:rsidR="0046326F" w:rsidRPr="00AB28D0" w:rsidRDefault="0046326F" w:rsidP="00AB28D0">
      <w:pPr>
        <w:spacing w:line="276" w:lineRule="auto"/>
      </w:pPr>
      <w:r w:rsidRPr="00AB28D0">
        <w:t xml:space="preserve">A lot of the time, </w:t>
      </w:r>
      <w:r w:rsidR="00B21597" w:rsidRPr="00AB28D0">
        <w:t>they claimed, the flexibility that allows</w:t>
      </w:r>
      <w:r w:rsidRPr="00AB28D0">
        <w:t xml:space="preserve"> a co-op to </w:t>
      </w:r>
      <w:r w:rsidR="00B21597" w:rsidRPr="00AB28D0">
        <w:t xml:space="preserve">share its losses </w:t>
      </w:r>
      <w:r w:rsidRPr="00AB28D0">
        <w:t>with other co</w:t>
      </w:r>
      <w:r w:rsidRPr="00AB28D0">
        <w:noBreakHyphen/>
        <w:t xml:space="preserve">ops </w:t>
      </w:r>
      <w:r w:rsidR="00B21597" w:rsidRPr="00AB28D0">
        <w:t xml:space="preserve">is </w:t>
      </w:r>
      <w:proofErr w:type="spellStart"/>
      <w:r w:rsidRPr="00AB28D0">
        <w:t>dependant</w:t>
      </w:r>
      <w:proofErr w:type="spellEnd"/>
      <w:r w:rsidRPr="00AB28D0">
        <w:t xml:space="preserve"> on that co-op trying to address problems in </w:t>
      </w:r>
      <w:r w:rsidR="00DC190D" w:rsidRPr="00AB28D0">
        <w:t xml:space="preserve">their </w:t>
      </w:r>
      <w:r w:rsidRPr="00AB28D0">
        <w:t>business. If they did nothing, they wouldn’t get thi</w:t>
      </w:r>
      <w:r w:rsidR="00B21597" w:rsidRPr="00AB28D0">
        <w:t>s support. But providing they’ve</w:t>
      </w:r>
      <w:r w:rsidRPr="00AB28D0">
        <w:t xml:space="preserve"> tried hard to adjust their business, or to transfer staff out when they don’t need them, they can get lots of help from the other members in the sector.</w:t>
      </w:r>
    </w:p>
    <w:p w:rsidR="0046326F" w:rsidRPr="00AB28D0" w:rsidRDefault="0046326F" w:rsidP="00AB28D0">
      <w:pPr>
        <w:spacing w:line="276" w:lineRule="auto"/>
      </w:pPr>
    </w:p>
    <w:p w:rsidR="0046326F" w:rsidRPr="00AB28D0" w:rsidRDefault="002F25D7" w:rsidP="00AB28D0">
      <w:pPr>
        <w:spacing w:line="276" w:lineRule="auto"/>
      </w:pPr>
      <w:r>
        <w:t>The lecturer</w:t>
      </w:r>
      <w:r w:rsidR="0046326F" w:rsidRPr="00AB28D0">
        <w:t xml:space="preserve"> mentioned </w:t>
      </w:r>
      <w:r w:rsidR="00B21597" w:rsidRPr="00AB28D0">
        <w:t xml:space="preserve">that there is an informal norm aimed at </w:t>
      </w:r>
      <w:r w:rsidR="0046326F" w:rsidRPr="00AB28D0">
        <w:t>prevent</w:t>
      </w:r>
      <w:r w:rsidR="00B21597" w:rsidRPr="00AB28D0">
        <w:t>ing</w:t>
      </w:r>
      <w:r w:rsidR="0046326F" w:rsidRPr="00AB28D0">
        <w:t xml:space="preserve"> worker-members losing more than 30%</w:t>
      </w:r>
      <w:r w:rsidR="00B21597" w:rsidRPr="00AB28D0">
        <w:t xml:space="preserve"> of their own capital holding in any one year</w:t>
      </w:r>
      <w:r w:rsidR="0046326F" w:rsidRPr="00AB28D0">
        <w:t xml:space="preserve">. If members </w:t>
      </w:r>
      <w:r w:rsidR="00B21597" w:rsidRPr="00AB28D0">
        <w:t xml:space="preserve">have </w:t>
      </w:r>
      <w:r w:rsidR="0046326F" w:rsidRPr="00AB28D0">
        <w:t xml:space="preserve">invested in their capital account and they </w:t>
      </w:r>
      <w:r w:rsidR="00B21597" w:rsidRPr="00AB28D0">
        <w:t xml:space="preserve">have performed </w:t>
      </w:r>
      <w:r w:rsidR="0046326F" w:rsidRPr="00AB28D0">
        <w:t xml:space="preserve">badly, an internal informal arrangement means that they try – if at all possible – not to lose more than 30% of their account. </w:t>
      </w:r>
      <w:r>
        <w:t>He then</w:t>
      </w:r>
      <w:r w:rsidR="00B21597" w:rsidRPr="00AB28D0">
        <w:t xml:space="preserve"> </w:t>
      </w:r>
      <w:r w:rsidR="0046326F" w:rsidRPr="00AB28D0">
        <w:t>gave an examp</w:t>
      </w:r>
      <w:r w:rsidR="00F84C4A" w:rsidRPr="00AB28D0">
        <w:t>le</w:t>
      </w:r>
      <w:r>
        <w:t>:</w:t>
      </w:r>
      <w:r w:rsidR="00F84C4A" w:rsidRPr="00AB28D0">
        <w:t xml:space="preserve"> if they only had one unit in</w:t>
      </w:r>
      <w:r w:rsidR="0046326F" w:rsidRPr="00AB28D0">
        <w:t xml:space="preserve"> their account, and they made losses, they would have to cover these losses from that last unit – they were accountable. He </w:t>
      </w:r>
      <w:r>
        <w:t xml:space="preserve">also </w:t>
      </w:r>
      <w:r w:rsidR="0046326F" w:rsidRPr="00AB28D0">
        <w:t xml:space="preserve">said it was important to understand that solidarity did not mean there </w:t>
      </w:r>
      <w:r>
        <w:t>was</w:t>
      </w:r>
      <w:r w:rsidR="0046326F" w:rsidRPr="00AB28D0">
        <w:t xml:space="preserve"> no pressure. In exercising solidarity a lot of pressure gets applied to </w:t>
      </w:r>
      <w:r w:rsidR="00B21597" w:rsidRPr="00AB28D0">
        <w:t xml:space="preserve">(loss-making) </w:t>
      </w:r>
      <w:r w:rsidR="0046326F" w:rsidRPr="00AB28D0">
        <w:t>business</w:t>
      </w:r>
      <w:r w:rsidR="00B21597" w:rsidRPr="00AB28D0">
        <w:t>es</w:t>
      </w:r>
      <w:r w:rsidR="0046326F" w:rsidRPr="00AB28D0">
        <w:t xml:space="preserve"> to sort </w:t>
      </w:r>
      <w:proofErr w:type="gramStart"/>
      <w:r w:rsidR="00B21597" w:rsidRPr="00AB28D0">
        <w:t>themselves</w:t>
      </w:r>
      <w:proofErr w:type="gramEnd"/>
      <w:r w:rsidR="00B21597" w:rsidRPr="00AB28D0">
        <w:t xml:space="preserve"> </w:t>
      </w:r>
      <w:r w:rsidR="0046326F" w:rsidRPr="00AB28D0">
        <w:t>out.</w:t>
      </w:r>
    </w:p>
    <w:p w:rsidR="00F84C4A" w:rsidRPr="00AB28D0" w:rsidRDefault="00F84C4A" w:rsidP="00AB28D0">
      <w:pPr>
        <w:pStyle w:val="Heading3"/>
        <w:spacing w:line="276" w:lineRule="auto"/>
        <w:rPr>
          <w:rFonts w:ascii="Times New Roman" w:hAnsi="Times New Roman" w:cs="Times New Roman"/>
          <w:sz w:val="24"/>
          <w:szCs w:val="24"/>
        </w:rPr>
      </w:pPr>
      <w:r w:rsidRPr="00AB28D0">
        <w:rPr>
          <w:rFonts w:ascii="Times New Roman" w:hAnsi="Times New Roman" w:cs="Times New Roman"/>
          <w:sz w:val="24"/>
          <w:szCs w:val="24"/>
        </w:rPr>
        <w:t>Pay Policy</w:t>
      </w:r>
    </w:p>
    <w:p w:rsidR="0046326F" w:rsidRPr="00AB28D0" w:rsidRDefault="0046326F" w:rsidP="00AB28D0">
      <w:pPr>
        <w:spacing w:line="276" w:lineRule="auto"/>
      </w:pPr>
      <w:r w:rsidRPr="00AB28D0">
        <w:t xml:space="preserve">There were other tools that helped to mediate pay policy. One he called an ‘independence index’.  Basically, they understand what the internal wage bill should be because they </w:t>
      </w:r>
      <w:r w:rsidR="000D0633" w:rsidRPr="00AB28D0">
        <w:t xml:space="preserve">track </w:t>
      </w:r>
      <w:r w:rsidRPr="00AB28D0">
        <w:t xml:space="preserve">the wage rates agreed by unions in the local economy and these become the market rates – they know what should </w:t>
      </w:r>
      <w:r w:rsidRPr="00AB28D0">
        <w:lastRenderedPageBreak/>
        <w:t>be paid.</w:t>
      </w:r>
      <w:r w:rsidR="000D0633" w:rsidRPr="00AB28D0">
        <w:t xml:space="preserve"> </w:t>
      </w:r>
      <w:r w:rsidRPr="00AB28D0">
        <w:t xml:space="preserve">What the various policies do is </w:t>
      </w:r>
      <w:r w:rsidR="000D0633" w:rsidRPr="00AB28D0">
        <w:t xml:space="preserve">provide information on a </w:t>
      </w:r>
      <w:r w:rsidRPr="00AB28D0">
        <w:t>ratio of internal to external resources. A little bit hazy – quite complicated – but the upshot of it is that if a co-op</w:t>
      </w:r>
      <w:r w:rsidR="002F25D7">
        <w:t>’</w:t>
      </w:r>
      <w:r w:rsidRPr="00AB28D0">
        <w:t xml:space="preserve">s balance sheet is not healthy, wages </w:t>
      </w:r>
      <w:r w:rsidRPr="00AB28D0">
        <w:rPr>
          <w:i/>
          <w:iCs/>
        </w:rPr>
        <w:t>have</w:t>
      </w:r>
      <w:r w:rsidRPr="00AB28D0">
        <w:t xml:space="preserve"> to be reduced. Also, there are limits about paying over the internal market rate and below the internal rate. He talked about a ratio of profits to payroll. So what it really meant was if their trading results were good, yes they can pay up to 9% more than average rate for the job, but that </w:t>
      </w:r>
      <w:r w:rsidR="002F25D7">
        <w:t>was</w:t>
      </w:r>
      <w:r w:rsidRPr="00AB28D0">
        <w:t xml:space="preserve"> dependent on doing very well.  Similarly, wages could drop by 14% if trading results were not so good. He </w:t>
      </w:r>
      <w:r w:rsidR="00CF318E" w:rsidRPr="00AB28D0">
        <w:t xml:space="preserve">kept stressing the </w:t>
      </w:r>
      <w:r w:rsidRPr="00AB28D0">
        <w:t>internal social pressure to perform well. The workforce</w:t>
      </w:r>
      <w:r w:rsidR="00CF318E" w:rsidRPr="00AB28D0">
        <w:t xml:space="preserve">s encourage each other to maintain </w:t>
      </w:r>
      <w:r w:rsidRPr="00AB28D0">
        <w:t>good performance through social pressure. Managers in poorly performing co-ops feel a lot of social pressure.</w:t>
      </w:r>
    </w:p>
    <w:p w:rsidR="00F84C4A" w:rsidRPr="00AB28D0" w:rsidRDefault="00F84C4A" w:rsidP="00AB28D0">
      <w:pPr>
        <w:pStyle w:val="Heading3"/>
        <w:spacing w:line="276" w:lineRule="auto"/>
        <w:rPr>
          <w:rFonts w:ascii="Times New Roman" w:hAnsi="Times New Roman" w:cs="Times New Roman"/>
          <w:sz w:val="24"/>
          <w:szCs w:val="24"/>
        </w:rPr>
      </w:pPr>
      <w:r w:rsidRPr="00AB28D0">
        <w:rPr>
          <w:rFonts w:ascii="Times New Roman" w:hAnsi="Times New Roman" w:cs="Times New Roman"/>
          <w:sz w:val="24"/>
          <w:szCs w:val="24"/>
        </w:rPr>
        <w:t>MCC Investments</w:t>
      </w:r>
    </w:p>
    <w:p w:rsidR="0046326F" w:rsidRPr="00AB28D0" w:rsidRDefault="0046326F" w:rsidP="00AB28D0">
      <w:pPr>
        <w:spacing w:line="276" w:lineRule="auto"/>
      </w:pPr>
      <w:r w:rsidRPr="00AB28D0">
        <w:t>We then talked about MCC Investments. The contributions that co-ops m</w:t>
      </w:r>
      <w:r w:rsidR="00B21597" w:rsidRPr="00AB28D0">
        <w:t xml:space="preserve">ake give them </w:t>
      </w:r>
      <w:r w:rsidR="00F84C4A" w:rsidRPr="00AB28D0">
        <w:t xml:space="preserve">the </w:t>
      </w:r>
      <w:r w:rsidR="00B21597" w:rsidRPr="00AB28D0">
        <w:t>right to vote i</w:t>
      </w:r>
      <w:r w:rsidRPr="00AB28D0">
        <w:t>n the General Assembly of MCC</w:t>
      </w:r>
      <w:r w:rsidR="00B21597" w:rsidRPr="00AB28D0">
        <w:t xml:space="preserve"> Investments</w:t>
      </w:r>
      <w:r w:rsidRPr="00AB28D0">
        <w:t xml:space="preserve">. Initially this is 756 </w:t>
      </w:r>
      <w:proofErr w:type="spellStart"/>
      <w:r w:rsidRPr="00AB28D0">
        <w:t>euros</w:t>
      </w:r>
      <w:proofErr w:type="spellEnd"/>
      <w:r w:rsidRPr="00AB28D0">
        <w:t>/per</w:t>
      </w:r>
      <w:r w:rsidR="00992286" w:rsidRPr="00AB28D0">
        <w:t xml:space="preserve"> person/per co-op. Quite a bill!  W</w:t>
      </w:r>
      <w:r w:rsidRPr="00AB28D0">
        <w:t xml:space="preserve">e worked it out as if a company had 500 staff, this could amount to </w:t>
      </w:r>
      <w:r w:rsidR="00B832B6" w:rsidRPr="00AB28D0">
        <w:t xml:space="preserve">more than </w:t>
      </w:r>
      <w:r w:rsidRPr="00AB28D0">
        <w:t xml:space="preserve">£50k.  100 staff is about £30,000. And they have to contribute 10% of their profits into the investment fund.  The CLP </w:t>
      </w:r>
      <w:r w:rsidR="005D3254" w:rsidRPr="00AB28D0">
        <w:t xml:space="preserve">(Bank of the People’s Labour) </w:t>
      </w:r>
      <w:r w:rsidRPr="00AB28D0">
        <w:t xml:space="preserve">gives a donation, </w:t>
      </w:r>
      <w:r w:rsidR="005D3254" w:rsidRPr="00AB28D0">
        <w:t xml:space="preserve">which is </w:t>
      </w:r>
      <w:r w:rsidRPr="00AB28D0">
        <w:t xml:space="preserve">usually extremely generous.  The CLP has large amounts of money and gives a substantial amount, </w:t>
      </w:r>
      <w:r w:rsidR="005D3254" w:rsidRPr="00AB28D0">
        <w:t xml:space="preserve">in addition to </w:t>
      </w:r>
      <w:r w:rsidRPr="00AB28D0">
        <w:t xml:space="preserve">10% of its profits.  The voting rights are linked to the headcount of each co-op.  </w:t>
      </w:r>
    </w:p>
    <w:p w:rsidR="00F84C4A" w:rsidRPr="00AB28D0" w:rsidRDefault="00F84C4A" w:rsidP="00AB28D0">
      <w:pPr>
        <w:pStyle w:val="Heading3"/>
        <w:spacing w:line="276" w:lineRule="auto"/>
        <w:rPr>
          <w:rFonts w:ascii="Times New Roman" w:hAnsi="Times New Roman" w:cs="Times New Roman"/>
          <w:sz w:val="24"/>
          <w:szCs w:val="24"/>
        </w:rPr>
      </w:pPr>
      <w:r w:rsidRPr="00AB28D0">
        <w:rPr>
          <w:rFonts w:ascii="Times New Roman" w:hAnsi="Times New Roman" w:cs="Times New Roman"/>
          <w:sz w:val="24"/>
          <w:szCs w:val="24"/>
        </w:rPr>
        <w:t>MCC Foundation</w:t>
      </w:r>
    </w:p>
    <w:p w:rsidR="0046326F" w:rsidRPr="00AB28D0" w:rsidRDefault="0046326F" w:rsidP="00AB28D0">
      <w:pPr>
        <w:spacing w:line="276" w:lineRule="auto"/>
      </w:pPr>
      <w:r w:rsidRPr="00AB28D0">
        <w:t xml:space="preserve">The CLP </w:t>
      </w:r>
      <w:r w:rsidR="005D3254" w:rsidRPr="00AB28D0">
        <w:t xml:space="preserve">(Bank of the People’s Labour) </w:t>
      </w:r>
      <w:r w:rsidRPr="00AB28D0">
        <w:t xml:space="preserve">gives 4% of its profits. The co-ops give about 2% of their profits. There can be non-foundation activities, such as business projects, feasibility studies, delegations abroad, export investigations and things like that. He mentioned FEPS, which is a co-operative </w:t>
      </w:r>
      <w:r w:rsidR="002E2417" w:rsidRPr="00AB28D0">
        <w:t>(</w:t>
      </w:r>
      <w:r w:rsidRPr="00AB28D0">
        <w:t>Basque</w:t>
      </w:r>
      <w:r w:rsidR="002E2417" w:rsidRPr="00AB28D0">
        <w:t>)</w:t>
      </w:r>
      <w:r w:rsidRPr="00AB28D0">
        <w:t xml:space="preserve"> expression for the 10% of </w:t>
      </w:r>
      <w:proofErr w:type="spellStart"/>
      <w:r w:rsidRPr="00AB28D0">
        <w:t>nett</w:t>
      </w:r>
      <w:proofErr w:type="spellEnd"/>
      <w:r w:rsidRPr="00AB28D0">
        <w:t xml:space="preserve"> profits that go to non-profits, social </w:t>
      </w:r>
      <w:r w:rsidR="005D3254" w:rsidRPr="00AB28D0">
        <w:t>organisations</w:t>
      </w:r>
      <w:r w:rsidRPr="00AB28D0">
        <w:t xml:space="preserve"> doing education and social work. I’m sure there is something there I’m missing</w:t>
      </w:r>
      <w:r w:rsidR="005D3254" w:rsidRPr="00AB28D0">
        <w:t>, but I noted that this is 1000% more than the norm in the UK (where only 1% of corporate profits are donated to charity)</w:t>
      </w:r>
      <w:r w:rsidRPr="00AB28D0">
        <w:t>.</w:t>
      </w:r>
    </w:p>
    <w:p w:rsidR="0046326F" w:rsidRPr="00AB28D0" w:rsidRDefault="0046326F" w:rsidP="00AB28D0">
      <w:pPr>
        <w:spacing w:line="276" w:lineRule="auto"/>
      </w:pPr>
    </w:p>
    <w:p w:rsidR="0046326F" w:rsidRPr="00AB28D0" w:rsidRDefault="0046326F" w:rsidP="00AB28D0">
      <w:pPr>
        <w:spacing w:line="276" w:lineRule="auto"/>
      </w:pPr>
      <w:r w:rsidRPr="00AB28D0">
        <w:t xml:space="preserve">He talked through the activities of the Foundation and </w:t>
      </w:r>
      <w:r w:rsidR="002F25D7">
        <w:t>i</w:t>
      </w:r>
      <w:r w:rsidRPr="00AB28D0">
        <w:t>nvestments.  On the Foundation side, they did internationalisation studies</w:t>
      </w:r>
      <w:r w:rsidR="002F25D7">
        <w:t xml:space="preserve"> and</w:t>
      </w:r>
      <w:r w:rsidRPr="00AB28D0">
        <w:t xml:space="preserve"> feasibility studies. They could use it for compensation of losses, but only up to 20% of those losses, so the Foundation again is something that cushions individual co-op</w:t>
      </w:r>
      <w:r w:rsidR="005D3254" w:rsidRPr="00AB28D0">
        <w:t>s</w:t>
      </w:r>
      <w:r w:rsidRPr="00AB28D0">
        <w:t xml:space="preserve"> </w:t>
      </w:r>
      <w:r w:rsidR="005D3254" w:rsidRPr="00AB28D0">
        <w:t xml:space="preserve">in </w:t>
      </w:r>
      <w:r w:rsidRPr="00AB28D0">
        <w:t>less favourable times. He then talked about corporate, education and R&amp;D projects, typically providing subsidies of up to £100</w:t>
      </w:r>
      <w:r w:rsidR="005D3254" w:rsidRPr="00AB28D0">
        <w:t>k</w:t>
      </w:r>
      <w:r w:rsidRPr="00AB28D0">
        <w:t>.</w:t>
      </w:r>
    </w:p>
    <w:p w:rsidR="0046326F" w:rsidRPr="00AB28D0" w:rsidRDefault="0046326F" w:rsidP="00AB28D0">
      <w:pPr>
        <w:spacing w:line="276" w:lineRule="auto"/>
      </w:pPr>
    </w:p>
    <w:p w:rsidR="0046326F" w:rsidRPr="00AB28D0" w:rsidRDefault="005D3254" w:rsidP="00AB28D0">
      <w:pPr>
        <w:spacing w:line="276" w:lineRule="auto"/>
      </w:pPr>
      <w:r w:rsidRPr="00AB28D0">
        <w:t>He called the i</w:t>
      </w:r>
      <w:r w:rsidR="0046326F" w:rsidRPr="00AB28D0">
        <w:t>nvestment side</w:t>
      </w:r>
      <w:r w:rsidRPr="00AB28D0">
        <w:t xml:space="preserve"> </w:t>
      </w:r>
      <w:r w:rsidR="00D06509">
        <w:t>‘</w:t>
      </w:r>
      <w:r w:rsidR="0046326F" w:rsidRPr="00AB28D0">
        <w:t>serious financing</w:t>
      </w:r>
      <w:r w:rsidR="00D06509">
        <w:t>’</w:t>
      </w:r>
      <w:r w:rsidR="0046326F" w:rsidRPr="00AB28D0">
        <w:t>: new activities, overseas operations, helping with debt finance, and major corporate projects. For example, he gave an example of overseas development. General Motors said that if the MCC wanted to supply them they had to create a plant in Brazil</w:t>
      </w:r>
      <w:r w:rsidR="00D06509" w:rsidRPr="00D06509">
        <w:t xml:space="preserve"> </w:t>
      </w:r>
      <w:r w:rsidR="00D06509">
        <w:t>–</w:t>
      </w:r>
      <w:r w:rsidR="0046326F" w:rsidRPr="00AB28D0">
        <w:t xml:space="preserve"> so they did.</w:t>
      </w:r>
    </w:p>
    <w:p w:rsidR="0046326F" w:rsidRPr="00AB28D0" w:rsidRDefault="0046326F" w:rsidP="00AB28D0">
      <w:pPr>
        <w:spacing w:line="276" w:lineRule="auto"/>
      </w:pPr>
    </w:p>
    <w:p w:rsidR="0046326F" w:rsidRPr="00AB28D0" w:rsidRDefault="005D3254" w:rsidP="00AB28D0">
      <w:pPr>
        <w:spacing w:line="276" w:lineRule="auto"/>
      </w:pPr>
      <w:r w:rsidRPr="00AB28D0">
        <w:t>The investment arm</w:t>
      </w:r>
      <w:r w:rsidR="0046326F" w:rsidRPr="00AB28D0">
        <w:t xml:space="preserve"> is largely a debt</w:t>
      </w:r>
      <w:r w:rsidR="00D06509">
        <w:t>-</w:t>
      </w:r>
      <w:r w:rsidR="0046326F" w:rsidRPr="00AB28D0">
        <w:t xml:space="preserve">financing system for the co-ops. He said it also protects the CLP because if the Bank of Spain </w:t>
      </w:r>
      <w:r w:rsidR="00D06509">
        <w:t>was</w:t>
      </w:r>
      <w:r w:rsidR="0046326F" w:rsidRPr="00AB28D0">
        <w:t xml:space="preserve"> to </w:t>
      </w:r>
      <w:r w:rsidR="00D06509">
        <w:t>undertake</w:t>
      </w:r>
      <w:r w:rsidR="0046326F" w:rsidRPr="00AB28D0">
        <w:t xml:space="preserve"> inspections it would not want to see the bank taking highly risky investments so they transfer this money into MCC Investment</w:t>
      </w:r>
      <w:r w:rsidR="00E12C49" w:rsidRPr="00AB28D0">
        <w:t xml:space="preserve">s to </w:t>
      </w:r>
      <w:r w:rsidR="0046326F" w:rsidRPr="00AB28D0">
        <w:t xml:space="preserve">undertake more risky finance </w:t>
      </w:r>
      <w:r w:rsidR="00E12C49" w:rsidRPr="00AB28D0">
        <w:t>projects</w:t>
      </w:r>
      <w:r w:rsidR="0046326F" w:rsidRPr="00AB28D0">
        <w:t xml:space="preserve">. Normally </w:t>
      </w:r>
      <w:r w:rsidR="00E12C49" w:rsidRPr="00AB28D0">
        <w:t>co</w:t>
      </w:r>
      <w:r w:rsidR="00D06509">
        <w:t>-</w:t>
      </w:r>
      <w:r w:rsidR="00E12C49" w:rsidRPr="00AB28D0">
        <w:t xml:space="preserve">ops </w:t>
      </w:r>
      <w:r w:rsidR="0046326F" w:rsidRPr="00AB28D0">
        <w:t xml:space="preserve">would go to the CLP first and exhaust those facilities </w:t>
      </w:r>
      <w:r w:rsidR="00E12C49" w:rsidRPr="00AB28D0">
        <w:t xml:space="preserve">before </w:t>
      </w:r>
      <w:r w:rsidR="0046326F" w:rsidRPr="00AB28D0">
        <w:t xml:space="preserve">they </w:t>
      </w:r>
      <w:r w:rsidR="00D06509">
        <w:t xml:space="preserve">would </w:t>
      </w:r>
      <w:r w:rsidR="0046326F" w:rsidRPr="00AB28D0">
        <w:t>come to the MCC Investment Fund</w:t>
      </w:r>
      <w:r w:rsidR="00E12C49" w:rsidRPr="00AB28D0">
        <w:t xml:space="preserve">. It </w:t>
      </w:r>
      <w:r w:rsidR="0046326F" w:rsidRPr="00AB28D0">
        <w:t xml:space="preserve">definitely helps co-ops </w:t>
      </w:r>
      <w:r w:rsidR="00D06509">
        <w:t>gain</w:t>
      </w:r>
      <w:r w:rsidR="0046326F" w:rsidRPr="00AB28D0">
        <w:t xml:space="preserve"> access to high risk capital.</w:t>
      </w:r>
    </w:p>
    <w:p w:rsidR="0046326F" w:rsidRPr="00AB28D0" w:rsidRDefault="00F84C4A" w:rsidP="00AB28D0">
      <w:pPr>
        <w:pStyle w:val="Heading3"/>
        <w:spacing w:line="276" w:lineRule="auto"/>
        <w:rPr>
          <w:rFonts w:ascii="Times New Roman" w:hAnsi="Times New Roman" w:cs="Times New Roman"/>
          <w:sz w:val="24"/>
          <w:szCs w:val="24"/>
        </w:rPr>
      </w:pPr>
      <w:r w:rsidRPr="00AB28D0">
        <w:rPr>
          <w:rFonts w:ascii="Times New Roman" w:hAnsi="Times New Roman" w:cs="Times New Roman"/>
          <w:sz w:val="24"/>
          <w:szCs w:val="24"/>
        </w:rPr>
        <w:lastRenderedPageBreak/>
        <w:t>Educational Activities</w:t>
      </w:r>
    </w:p>
    <w:p w:rsidR="0046326F" w:rsidRPr="00AB28D0" w:rsidRDefault="00D06509" w:rsidP="00AB28D0">
      <w:pPr>
        <w:spacing w:line="276" w:lineRule="auto"/>
      </w:pPr>
      <w:r>
        <w:t>Regarding</w:t>
      </w:r>
      <w:r w:rsidR="0046326F" w:rsidRPr="00AB28D0">
        <w:t xml:space="preserve"> educational activities – a lot goes into the university, some goes into training centres, and others go to subsidise direct activities. He talked about an innovation park that had been created that the smaller </w:t>
      </w:r>
      <w:r w:rsidR="00563911" w:rsidRPr="00AB28D0">
        <w:t>co</w:t>
      </w:r>
      <w:r>
        <w:t>-</w:t>
      </w:r>
      <w:r w:rsidR="00563911" w:rsidRPr="00AB28D0">
        <w:t xml:space="preserve">ops can use: these have </w:t>
      </w:r>
      <w:r w:rsidR="0046326F" w:rsidRPr="00AB28D0">
        <w:t xml:space="preserve">shared facilities in </w:t>
      </w:r>
      <w:r w:rsidR="00563911" w:rsidRPr="00AB28D0">
        <w:t xml:space="preserve">an </w:t>
      </w:r>
      <w:r w:rsidR="0046326F" w:rsidRPr="00AB28D0">
        <w:t xml:space="preserve">innovation park. The larger co-ops are encouraged to </w:t>
      </w:r>
      <w:r>
        <w:t xml:space="preserve">have their own R&amp;D facilities. </w:t>
      </w:r>
      <w:r w:rsidR="0046326F" w:rsidRPr="00AB28D0">
        <w:t>I did wonder whether part of this was a little bit like the Learning Skills Council in the UK.</w:t>
      </w:r>
    </w:p>
    <w:p w:rsidR="0046326F" w:rsidRPr="00AB28D0" w:rsidRDefault="0046326F" w:rsidP="00AB28D0">
      <w:pPr>
        <w:spacing w:line="276" w:lineRule="auto"/>
      </w:pPr>
    </w:p>
    <w:p w:rsidR="0046326F" w:rsidRPr="00AB28D0" w:rsidRDefault="0046326F" w:rsidP="00AB28D0">
      <w:pPr>
        <w:spacing w:line="276" w:lineRule="auto"/>
      </w:pPr>
      <w:r w:rsidRPr="00AB28D0">
        <w:t xml:space="preserve">They did have a science </w:t>
      </w:r>
      <w:r w:rsidR="00D06509">
        <w:t>and</w:t>
      </w:r>
      <w:r w:rsidRPr="00AB28D0">
        <w:t xml:space="preserve"> technical plan, with 15 points of action that he did not list. He did mention, for example, </w:t>
      </w:r>
      <w:r w:rsidR="00D06509">
        <w:t xml:space="preserve">that </w:t>
      </w:r>
      <w:r w:rsidRPr="00AB28D0">
        <w:t xml:space="preserve">funding </w:t>
      </w:r>
      <w:r w:rsidR="00D06509">
        <w:t>for</w:t>
      </w:r>
      <w:r w:rsidRPr="00AB28D0">
        <w:t xml:space="preserve"> biotechnology is one of the priority area</w:t>
      </w:r>
      <w:r w:rsidR="00563911" w:rsidRPr="00AB28D0">
        <w:t>s</w:t>
      </w:r>
      <w:r w:rsidRPr="00AB28D0">
        <w:t xml:space="preserve">. </w:t>
      </w:r>
      <w:r w:rsidR="00D06509">
        <w:t>Approximately</w:t>
      </w:r>
      <w:r w:rsidRPr="00AB28D0">
        <w:t xml:space="preserve"> 10 million </w:t>
      </w:r>
      <w:proofErr w:type="spellStart"/>
      <w:r w:rsidRPr="00AB28D0">
        <w:t>euros</w:t>
      </w:r>
      <w:proofErr w:type="spellEnd"/>
      <w:r w:rsidRPr="00AB28D0">
        <w:t xml:space="preserve"> is spent annual</w:t>
      </w:r>
      <w:r w:rsidR="00563911" w:rsidRPr="00AB28D0">
        <w:t>ly</w:t>
      </w:r>
      <w:r w:rsidRPr="00AB28D0">
        <w:t xml:space="preserve">. About 50% goes to business development activities, and about 50% to educational projects.  In 2002 he estimated that it would </w:t>
      </w:r>
      <w:r w:rsidR="00D06509">
        <w:t>hold</w:t>
      </w:r>
      <w:r w:rsidRPr="00AB28D0">
        <w:t xml:space="preserve"> about 20 million </w:t>
      </w:r>
      <w:proofErr w:type="spellStart"/>
      <w:r w:rsidRPr="00AB28D0">
        <w:t>euros</w:t>
      </w:r>
      <w:proofErr w:type="spellEnd"/>
      <w:r w:rsidRPr="00AB28D0">
        <w:t xml:space="preserve">. </w:t>
      </w:r>
      <w:r w:rsidR="00D06509">
        <w:t>S</w:t>
      </w:r>
      <w:r w:rsidRPr="00AB28D0">
        <w:t>o if we thin</w:t>
      </w:r>
      <w:r w:rsidR="002E5163" w:rsidRPr="00AB28D0">
        <w:t>k</w:t>
      </w:r>
      <w:r w:rsidRPr="00AB28D0">
        <w:t xml:space="preserve"> of something like </w:t>
      </w:r>
      <w:proofErr w:type="spellStart"/>
      <w:r w:rsidRPr="00AB28D0">
        <w:t>Baxi</w:t>
      </w:r>
      <w:proofErr w:type="spellEnd"/>
      <w:r w:rsidRPr="00AB28D0">
        <w:t xml:space="preserve"> which has got a total of £20m, in Mondragon we are talking about the MCC Investmen</w:t>
      </w:r>
      <w:r w:rsidR="00D06509">
        <w:t xml:space="preserve">t arm having 20m </w:t>
      </w:r>
      <w:proofErr w:type="spellStart"/>
      <w:r w:rsidR="00D06509">
        <w:t>euros</w:t>
      </w:r>
      <w:proofErr w:type="spellEnd"/>
      <w:r w:rsidR="00D06509">
        <w:t xml:space="preserve"> a year. </w:t>
      </w:r>
      <w:r w:rsidRPr="00AB28D0">
        <w:t xml:space="preserve">This is on top of the financing available from the CLP, on top of money available from </w:t>
      </w:r>
      <w:proofErr w:type="spellStart"/>
      <w:r w:rsidRPr="00AB28D0">
        <w:t>Lagun</w:t>
      </w:r>
      <w:proofErr w:type="spellEnd"/>
      <w:r w:rsidRPr="00AB28D0">
        <w:t xml:space="preserve"> </w:t>
      </w:r>
      <w:proofErr w:type="spellStart"/>
      <w:r w:rsidRPr="00AB28D0">
        <w:t>Aro</w:t>
      </w:r>
      <w:proofErr w:type="spellEnd"/>
      <w:r w:rsidRPr="00AB28D0">
        <w:t xml:space="preserve"> which is the Social Security </w:t>
      </w:r>
      <w:r w:rsidR="002E5163" w:rsidRPr="00AB28D0">
        <w:t xml:space="preserve">arm. There are </w:t>
      </w:r>
      <w:r w:rsidRPr="00AB28D0">
        <w:t xml:space="preserve">multiple sources of capital. </w:t>
      </w:r>
    </w:p>
    <w:p w:rsidR="00F84C4A" w:rsidRPr="00AB28D0" w:rsidRDefault="00F84C4A" w:rsidP="00AB28D0">
      <w:pPr>
        <w:pStyle w:val="Heading3"/>
        <w:spacing w:line="276" w:lineRule="auto"/>
        <w:rPr>
          <w:rFonts w:ascii="Times New Roman" w:hAnsi="Times New Roman" w:cs="Times New Roman"/>
          <w:sz w:val="24"/>
          <w:szCs w:val="24"/>
        </w:rPr>
      </w:pPr>
      <w:r w:rsidRPr="00AB28D0">
        <w:rPr>
          <w:rFonts w:ascii="Times New Roman" w:hAnsi="Times New Roman" w:cs="Times New Roman"/>
          <w:sz w:val="24"/>
          <w:szCs w:val="24"/>
        </w:rPr>
        <w:t>Investment Fund</w:t>
      </w:r>
    </w:p>
    <w:p w:rsidR="0046326F" w:rsidRPr="00AB28D0" w:rsidRDefault="0046326F" w:rsidP="00AB28D0">
      <w:pPr>
        <w:spacing w:line="276" w:lineRule="auto"/>
      </w:pPr>
      <w:r w:rsidRPr="00AB28D0">
        <w:t xml:space="preserve">He talked </w:t>
      </w:r>
      <w:r w:rsidR="002E5163" w:rsidRPr="00AB28D0">
        <w:t xml:space="preserve">more </w:t>
      </w:r>
      <w:r w:rsidRPr="00AB28D0">
        <w:t xml:space="preserve">about the Investment Fund. One part of it went into subsidy funds which </w:t>
      </w:r>
      <w:r w:rsidR="00D06509">
        <w:t>were</w:t>
      </w:r>
      <w:r w:rsidRPr="00AB28D0">
        <w:t xml:space="preserve"> covering the highest risk activities. For example, the plant they build in Brazil they had to use part of this fund to cover to loss of values due to exchange rate changes. In the most extreme circumstances, money is set aside to write off debts. So there is a proportion of the money that </w:t>
      </w:r>
      <w:r w:rsidR="00752D98" w:rsidRPr="00AB28D0">
        <w:t>provides a contingency fund.</w:t>
      </w:r>
      <w:r w:rsidRPr="00AB28D0">
        <w:t xml:space="preserve"> </w:t>
      </w:r>
      <w:r w:rsidR="00D06509">
        <w:t>With regard to t</w:t>
      </w:r>
      <w:r w:rsidRPr="00AB28D0">
        <w:t xml:space="preserve">he investment activities – he stressed again their high risk nature –he also said that the co-ops who have put money into the MCC get a return on that investment. So where there is a high risk investment in an overseas plant, then the co-ops get interest or a dividend.  But the tendency is to try and spend everything – so they are trying to place all the money in projects.  </w:t>
      </w:r>
      <w:r w:rsidR="00F84C4A" w:rsidRPr="00AB28D0">
        <w:t>Lastly, h</w:t>
      </w:r>
      <w:r w:rsidRPr="00AB28D0">
        <w:t>e talked about the very favourable tax treatment of MCC Investments. Apparently the local government recognise what a valuable job MCC Investments is doing in creating jobs so it does not tax it too heavily. The argument was that it gets the tax revenue from the jobs that have been created, the employees and the profits of the co-ops.</w:t>
      </w:r>
    </w:p>
    <w:p w:rsidR="00F84C4A" w:rsidRPr="00AB28D0" w:rsidRDefault="00F84C4A" w:rsidP="00AB28D0">
      <w:pPr>
        <w:pStyle w:val="Heading3"/>
        <w:spacing w:line="276" w:lineRule="auto"/>
        <w:rPr>
          <w:rFonts w:ascii="Times New Roman" w:hAnsi="Times New Roman" w:cs="Times New Roman"/>
          <w:sz w:val="24"/>
          <w:szCs w:val="24"/>
        </w:rPr>
      </w:pPr>
      <w:r w:rsidRPr="00AB28D0">
        <w:rPr>
          <w:rFonts w:ascii="Times New Roman" w:hAnsi="Times New Roman" w:cs="Times New Roman"/>
          <w:sz w:val="24"/>
          <w:szCs w:val="24"/>
        </w:rPr>
        <w:t>Internationalisation</w:t>
      </w:r>
    </w:p>
    <w:p w:rsidR="003369B2" w:rsidRPr="00AB28D0" w:rsidRDefault="00CA234E" w:rsidP="00AB28D0">
      <w:pPr>
        <w:spacing w:line="276" w:lineRule="auto"/>
      </w:pPr>
      <w:r w:rsidRPr="00AB28D0">
        <w:t>Finally, h</w:t>
      </w:r>
      <w:r w:rsidR="0046326F" w:rsidRPr="00AB28D0">
        <w:t>e turned to the internationalisation that they are engaged in. He talked about joint ventures.  The bigge</w:t>
      </w:r>
      <w:r w:rsidRPr="00AB28D0">
        <w:t>st dilemma is how to integrate</w:t>
      </w:r>
      <w:r w:rsidR="0046326F" w:rsidRPr="00AB28D0">
        <w:t xml:space="preserve"> the overseas businesses into the overall model. The Congress </w:t>
      </w:r>
      <w:r w:rsidRPr="00AB28D0">
        <w:t xml:space="preserve">taking </w:t>
      </w:r>
      <w:r w:rsidR="0046326F" w:rsidRPr="00AB28D0">
        <w:t>place in May is looking at the intention of becoming an International Co</w:t>
      </w:r>
      <w:r w:rsidR="00D06509">
        <w:t>-</w:t>
      </w:r>
      <w:r w:rsidR="0046326F" w:rsidRPr="00AB28D0">
        <w:t>operative Corporation – actually specifying and having a strategy for internationalising their corporation.</w:t>
      </w:r>
      <w:r w:rsidR="00F84C4A" w:rsidRPr="00AB28D0">
        <w:t xml:space="preserve">  </w:t>
      </w:r>
      <w:r w:rsidR="0046326F" w:rsidRPr="00AB28D0">
        <w:t>At the m</w:t>
      </w:r>
      <w:r w:rsidR="002C238B" w:rsidRPr="00AB28D0">
        <w:t>oment overseas there are profit-</w:t>
      </w:r>
      <w:r w:rsidR="0046326F" w:rsidRPr="00AB28D0">
        <w:t>sharing arrangements. He said that once they’ve</w:t>
      </w:r>
      <w:r w:rsidR="00F84C4A" w:rsidRPr="00AB28D0">
        <w:t xml:space="preserve"> invested </w:t>
      </w:r>
      <w:r w:rsidR="00F84C4A" w:rsidRPr="00D06509">
        <w:t xml:space="preserve">that </w:t>
      </w:r>
      <w:r w:rsidR="00F84C4A" w:rsidRPr="00AB28D0">
        <w:t xml:space="preserve">they </w:t>
      </w:r>
      <w:r w:rsidR="00D06509">
        <w:t xml:space="preserve">would </w:t>
      </w:r>
      <w:r w:rsidR="00F84C4A" w:rsidRPr="00AB28D0">
        <w:t>‘pedal hard’ (as he put it)</w:t>
      </w:r>
      <w:r w:rsidR="0046326F" w:rsidRPr="00AB28D0">
        <w:t xml:space="preserve"> to promote the co-operative principles. He </w:t>
      </w:r>
      <w:r w:rsidR="00D06509">
        <w:t xml:space="preserve">also </w:t>
      </w:r>
      <w:r w:rsidR="0046326F" w:rsidRPr="00AB28D0">
        <w:t>said that the values that tend to underpin overseas investment</w:t>
      </w:r>
      <w:r w:rsidR="008E4E90" w:rsidRPr="00AB28D0">
        <w:t>s</w:t>
      </w:r>
      <w:r w:rsidR="0046326F" w:rsidRPr="00AB28D0">
        <w:t xml:space="preserve"> </w:t>
      </w:r>
      <w:r w:rsidR="009F4773" w:rsidRPr="00AB28D0">
        <w:t xml:space="preserve">are first </w:t>
      </w:r>
      <w:r w:rsidR="0046326F" w:rsidRPr="00AB28D0">
        <w:t>of all decent wages and conditions</w:t>
      </w:r>
      <w:r w:rsidR="00D06509">
        <w:t>, and</w:t>
      </w:r>
      <w:r w:rsidR="009F4773" w:rsidRPr="00AB28D0">
        <w:t xml:space="preserve"> second, </w:t>
      </w:r>
      <w:r w:rsidR="0046326F" w:rsidRPr="00AB28D0">
        <w:t xml:space="preserve">community control. </w:t>
      </w:r>
      <w:r w:rsidR="00F84C4A" w:rsidRPr="00AB28D0">
        <w:t xml:space="preserve">They had a ‘realistic goal’ to achieve </w:t>
      </w:r>
      <w:r w:rsidR="0046326F" w:rsidRPr="00AB28D0">
        <w:t>worker-participation in equity, profits and decision</w:t>
      </w:r>
      <w:r w:rsidR="00D06509">
        <w:t xml:space="preserve"> </w:t>
      </w:r>
      <w:r w:rsidR="0046326F" w:rsidRPr="00AB28D0">
        <w:t>making</w:t>
      </w:r>
      <w:r w:rsidR="00F84C4A" w:rsidRPr="00AB28D0">
        <w:t xml:space="preserve"> where possible, and a </w:t>
      </w:r>
      <w:r w:rsidR="0046326F" w:rsidRPr="00AB28D0">
        <w:t>long</w:t>
      </w:r>
      <w:r w:rsidR="00D06509">
        <w:t>-</w:t>
      </w:r>
      <w:r w:rsidR="0046326F" w:rsidRPr="00AB28D0">
        <w:t xml:space="preserve">term </w:t>
      </w:r>
      <w:r w:rsidR="00F84C4A" w:rsidRPr="00AB28D0">
        <w:t xml:space="preserve">goal of securing </w:t>
      </w:r>
      <w:r w:rsidR="00D06509">
        <w:t xml:space="preserve">a </w:t>
      </w:r>
      <w:r w:rsidR="00F84C4A" w:rsidRPr="00AB28D0">
        <w:t>commitment to organising as co</w:t>
      </w:r>
      <w:r w:rsidR="00F84C4A" w:rsidRPr="00AB28D0">
        <w:noBreakHyphen/>
      </w:r>
      <w:r w:rsidR="0046326F" w:rsidRPr="00AB28D0">
        <w:t>operatives.</w:t>
      </w:r>
      <w:r w:rsidR="003369B2" w:rsidRPr="00AB28D0">
        <w:t xml:space="preserve">  </w:t>
      </w:r>
    </w:p>
    <w:p w:rsidR="003369B2" w:rsidRPr="00AB28D0" w:rsidRDefault="003369B2" w:rsidP="00AB28D0">
      <w:pPr>
        <w:spacing w:line="276" w:lineRule="auto"/>
      </w:pPr>
    </w:p>
    <w:p w:rsidR="003369B2" w:rsidRPr="00AB28D0" w:rsidRDefault="003369B2" w:rsidP="00AB28D0">
      <w:pPr>
        <w:keepNext/>
        <w:spacing w:line="276" w:lineRule="auto"/>
        <w:rPr>
          <w:b/>
        </w:rPr>
      </w:pPr>
      <w:r w:rsidRPr="00AB28D0">
        <w:rPr>
          <w:b/>
        </w:rPr>
        <w:lastRenderedPageBreak/>
        <w:t xml:space="preserve">Postscript: </w:t>
      </w:r>
    </w:p>
    <w:p w:rsidR="0046326F" w:rsidRPr="00F84C4A" w:rsidRDefault="003369B2" w:rsidP="00AB28D0">
      <w:pPr>
        <w:spacing w:line="276" w:lineRule="auto"/>
        <w:rPr>
          <w:i/>
        </w:rPr>
      </w:pPr>
      <w:r w:rsidRPr="00AB28D0">
        <w:rPr>
          <w:i/>
        </w:rPr>
        <w:t>One stumbling block to Mondragon’s aspirations (particularly in the UK) is that there are no co</w:t>
      </w:r>
      <w:r w:rsidR="00112324">
        <w:rPr>
          <w:i/>
        </w:rPr>
        <w:t>-</w:t>
      </w:r>
      <w:r w:rsidRPr="00AB28D0">
        <w:rPr>
          <w:i/>
        </w:rPr>
        <w:t>operative laws. In other cases, the co</w:t>
      </w:r>
      <w:r w:rsidR="00112324">
        <w:rPr>
          <w:i/>
        </w:rPr>
        <w:t>-</w:t>
      </w:r>
      <w:r w:rsidRPr="00AB28D0">
        <w:rPr>
          <w:i/>
        </w:rPr>
        <w:t xml:space="preserve">operative laws do not permit replication of the capital </w:t>
      </w:r>
      <w:r w:rsidR="00D91F6F" w:rsidRPr="00AB28D0">
        <w:rPr>
          <w:i/>
        </w:rPr>
        <w:t xml:space="preserve">holdings </w:t>
      </w:r>
      <w:r w:rsidRPr="00AB28D0">
        <w:rPr>
          <w:i/>
        </w:rPr>
        <w:t>at Mondragon.</w:t>
      </w:r>
      <w:r w:rsidR="00D91F6F" w:rsidRPr="00AB28D0">
        <w:rPr>
          <w:i/>
        </w:rPr>
        <w:t xml:space="preserve"> Integration of overseas operations into the group remains</w:t>
      </w:r>
      <w:r w:rsidR="00D91F6F">
        <w:rPr>
          <w:i/>
        </w:rPr>
        <w:t xml:space="preserve"> a challenge.</w:t>
      </w:r>
    </w:p>
    <w:sectPr w:rsidR="0046326F" w:rsidRPr="00F84C4A" w:rsidSect="00894CD4">
      <w:headerReference w:type="default" r:id="rId8"/>
      <w:footerReference w:type="default" r:id="rId9"/>
      <w:pgSz w:w="11906" w:h="16838"/>
      <w:pgMar w:top="1134" w:right="1077" w:bottom="851" w:left="1077" w:header="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465" w:rsidRDefault="00770465">
      <w:r>
        <w:separator/>
      </w:r>
    </w:p>
  </w:endnote>
  <w:endnote w:type="continuationSeparator" w:id="0">
    <w:p w:rsidR="00770465" w:rsidRDefault="00770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E0" w:rsidRPr="003B49E0" w:rsidRDefault="00A54BBD" w:rsidP="003B49E0">
    <w:pPr>
      <w:pStyle w:val="Footer"/>
      <w:tabs>
        <w:tab w:val="clear" w:pos="4513"/>
        <w:tab w:val="clear" w:pos="9026"/>
        <w:tab w:val="right" w:pos="9639"/>
      </w:tabs>
      <w:rPr>
        <w:sz w:val="20"/>
        <w:szCs w:val="20"/>
      </w:rPr>
    </w:pPr>
    <w:r>
      <w:rPr>
        <w:noProof/>
        <w:sz w:val="20"/>
        <w:szCs w:val="20"/>
      </w:rPr>
      <w:drawing>
        <wp:inline distT="0" distB="0" distL="0" distR="0">
          <wp:extent cx="781050" cy="276225"/>
          <wp:effectExtent l="0" t="0" r="0" b="0"/>
          <wp:docPr id="2" name="Picture 2" descr="Creative Commons - Exercise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 Exercises Lice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276225"/>
                  </a:xfrm>
                  <a:prstGeom prst="rect">
                    <a:avLst/>
                  </a:prstGeom>
                  <a:noFill/>
                  <a:ln>
                    <a:noFill/>
                  </a:ln>
                </pic:spPr>
              </pic:pic>
            </a:graphicData>
          </a:graphic>
        </wp:inline>
      </w:drawing>
    </w:r>
    <w:r w:rsidR="00AB28D0">
      <w:rPr>
        <w:sz w:val="20"/>
        <w:szCs w:val="20"/>
      </w:rPr>
      <w:t xml:space="preserve"> </w:t>
    </w:r>
    <w:r w:rsidR="003B49E0" w:rsidRPr="000E300F">
      <w:rPr>
        <w:sz w:val="20"/>
        <w:szCs w:val="20"/>
      </w:rPr>
      <w:t xml:space="preserve">Rory Ridley-Duff, </w:t>
    </w:r>
    <w:r w:rsidR="003B49E0">
      <w:rPr>
        <w:sz w:val="20"/>
        <w:szCs w:val="20"/>
      </w:rPr>
      <w:t>201</w:t>
    </w:r>
    <w:r w:rsidR="00AB28D0">
      <w:rPr>
        <w:sz w:val="20"/>
        <w:szCs w:val="20"/>
      </w:rPr>
      <w:t>5</w:t>
    </w:r>
    <w:r w:rsidR="003B49E0">
      <w:rPr>
        <w:sz w:val="20"/>
        <w:szCs w:val="20"/>
      </w:rPr>
      <w:tab/>
    </w:r>
    <w:hyperlink r:id="rId2" w:history="1">
      <w:r w:rsidR="003B49E0" w:rsidRPr="00C828F4">
        <w:rPr>
          <w:rStyle w:val="Hyperlink"/>
          <w:sz w:val="20"/>
          <w:szCs w:val="20"/>
        </w:rPr>
        <w:t xml:space="preserve">Creative Commons </w:t>
      </w:r>
      <w:r w:rsidR="00AB28D0">
        <w:rPr>
          <w:rStyle w:val="Hyperlink"/>
          <w:sz w:val="20"/>
          <w:szCs w:val="20"/>
        </w:rPr>
        <w:t>4</w:t>
      </w:r>
      <w:r w:rsidR="003B49E0" w:rsidRPr="00C828F4">
        <w:rPr>
          <w:rStyle w:val="Hyperlink"/>
          <w:sz w:val="20"/>
          <w:szCs w:val="20"/>
        </w:rPr>
        <w:t>.0</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465" w:rsidRDefault="00770465">
      <w:r>
        <w:separator/>
      </w:r>
    </w:p>
  </w:footnote>
  <w:footnote w:type="continuationSeparator" w:id="0">
    <w:p w:rsidR="00770465" w:rsidRDefault="0077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0F" w:rsidRDefault="00396C0F">
    <w:pPr>
      <w:pStyle w:val="Header"/>
    </w:pPr>
  </w:p>
  <w:p w:rsidR="00396C0F" w:rsidRDefault="00396C0F">
    <w:pPr>
      <w:pStyle w:val="Header"/>
    </w:pPr>
  </w:p>
  <w:p w:rsidR="00396C0F" w:rsidRDefault="00AB28D0" w:rsidP="00AB28D0">
    <w:pPr>
      <w:pStyle w:val="Header"/>
      <w:tabs>
        <w:tab w:val="right" w:pos="9072"/>
      </w:tabs>
    </w:pPr>
    <w:r>
      <w:rPr>
        <w:sz w:val="18"/>
      </w:rPr>
      <w:t>Understanding Social Enterprise: Theory and Practice</w:t>
    </w:r>
    <w:r>
      <w:rPr>
        <w:sz w:val="18"/>
      </w:rPr>
      <w:tab/>
    </w:r>
    <w:r>
      <w:rPr>
        <w:sz w:val="18"/>
      </w:rPr>
      <w:tab/>
      <w:t>Sage Publications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7EE"/>
    <w:multiLevelType w:val="hybridMultilevel"/>
    <w:tmpl w:val="9F785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143F2"/>
    <w:multiLevelType w:val="hybridMultilevel"/>
    <w:tmpl w:val="779C3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A4495"/>
    <w:multiLevelType w:val="hybridMultilevel"/>
    <w:tmpl w:val="B1C0C9F4"/>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nsid w:val="1B71748C"/>
    <w:multiLevelType w:val="hybridMultilevel"/>
    <w:tmpl w:val="BDD892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4F543B"/>
    <w:multiLevelType w:val="hybridMultilevel"/>
    <w:tmpl w:val="30BE761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570188"/>
    <w:multiLevelType w:val="hybridMultilevel"/>
    <w:tmpl w:val="EDC4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BC2FA9"/>
    <w:multiLevelType w:val="hybridMultilevel"/>
    <w:tmpl w:val="447836A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F11CCF"/>
    <w:multiLevelType w:val="hybridMultilevel"/>
    <w:tmpl w:val="5C467BA6"/>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D50426"/>
    <w:multiLevelType w:val="hybridMultilevel"/>
    <w:tmpl w:val="662E7246"/>
    <w:lvl w:ilvl="0" w:tplc="B0CCF910">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5"/>
  </w:num>
  <w:num w:numId="2">
    <w:abstractNumId w:val="2"/>
  </w:num>
  <w:num w:numId="3">
    <w:abstractNumId w:val="8"/>
  </w:num>
  <w:num w:numId="4">
    <w:abstractNumId w:val="4"/>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D040FB"/>
    <w:rsid w:val="000133FB"/>
    <w:rsid w:val="00043CFA"/>
    <w:rsid w:val="00045F49"/>
    <w:rsid w:val="000821FF"/>
    <w:rsid w:val="00094172"/>
    <w:rsid w:val="000A7125"/>
    <w:rsid w:val="000C69F6"/>
    <w:rsid w:val="000D03AF"/>
    <w:rsid w:val="000D0633"/>
    <w:rsid w:val="000E191D"/>
    <w:rsid w:val="00110237"/>
    <w:rsid w:val="00112324"/>
    <w:rsid w:val="001134B5"/>
    <w:rsid w:val="00115DEF"/>
    <w:rsid w:val="00120996"/>
    <w:rsid w:val="00124682"/>
    <w:rsid w:val="00172003"/>
    <w:rsid w:val="00184292"/>
    <w:rsid w:val="00185FBB"/>
    <w:rsid w:val="001B0554"/>
    <w:rsid w:val="001B6698"/>
    <w:rsid w:val="001B7B9D"/>
    <w:rsid w:val="001C57DD"/>
    <w:rsid w:val="001C5B01"/>
    <w:rsid w:val="001C66C0"/>
    <w:rsid w:val="001E5546"/>
    <w:rsid w:val="00200EEA"/>
    <w:rsid w:val="00210F49"/>
    <w:rsid w:val="002203F1"/>
    <w:rsid w:val="00254733"/>
    <w:rsid w:val="002972CD"/>
    <w:rsid w:val="002A2D01"/>
    <w:rsid w:val="002A4BBE"/>
    <w:rsid w:val="002B665C"/>
    <w:rsid w:val="002C238B"/>
    <w:rsid w:val="002D7E2D"/>
    <w:rsid w:val="002E2417"/>
    <w:rsid w:val="002E5163"/>
    <w:rsid w:val="002F25D7"/>
    <w:rsid w:val="0030743C"/>
    <w:rsid w:val="00310A76"/>
    <w:rsid w:val="003121B7"/>
    <w:rsid w:val="00322414"/>
    <w:rsid w:val="003369B2"/>
    <w:rsid w:val="003553C8"/>
    <w:rsid w:val="00395372"/>
    <w:rsid w:val="00396147"/>
    <w:rsid w:val="00396C0F"/>
    <w:rsid w:val="003A0E74"/>
    <w:rsid w:val="003B2751"/>
    <w:rsid w:val="003B49E0"/>
    <w:rsid w:val="003C1B4D"/>
    <w:rsid w:val="003E77AC"/>
    <w:rsid w:val="00406304"/>
    <w:rsid w:val="00431FD0"/>
    <w:rsid w:val="0044063B"/>
    <w:rsid w:val="00443411"/>
    <w:rsid w:val="0046326F"/>
    <w:rsid w:val="004E2B5B"/>
    <w:rsid w:val="004F47EB"/>
    <w:rsid w:val="00530F57"/>
    <w:rsid w:val="00563911"/>
    <w:rsid w:val="00596999"/>
    <w:rsid w:val="005A3DA6"/>
    <w:rsid w:val="005A4272"/>
    <w:rsid w:val="005D3254"/>
    <w:rsid w:val="0064695E"/>
    <w:rsid w:val="006674C9"/>
    <w:rsid w:val="00695683"/>
    <w:rsid w:val="006B43AB"/>
    <w:rsid w:val="006B4914"/>
    <w:rsid w:val="006D0335"/>
    <w:rsid w:val="006F07DC"/>
    <w:rsid w:val="007137F8"/>
    <w:rsid w:val="00713DE8"/>
    <w:rsid w:val="00752D98"/>
    <w:rsid w:val="0075474B"/>
    <w:rsid w:val="00761CE3"/>
    <w:rsid w:val="00763576"/>
    <w:rsid w:val="00767568"/>
    <w:rsid w:val="00770465"/>
    <w:rsid w:val="0077399B"/>
    <w:rsid w:val="007876B3"/>
    <w:rsid w:val="007A18CF"/>
    <w:rsid w:val="007A6E6E"/>
    <w:rsid w:val="007C4EF7"/>
    <w:rsid w:val="0080061C"/>
    <w:rsid w:val="00800664"/>
    <w:rsid w:val="00801541"/>
    <w:rsid w:val="008346E2"/>
    <w:rsid w:val="00850E18"/>
    <w:rsid w:val="008577A3"/>
    <w:rsid w:val="00861CC4"/>
    <w:rsid w:val="008830B0"/>
    <w:rsid w:val="00894CD4"/>
    <w:rsid w:val="008A4AE2"/>
    <w:rsid w:val="008A67D5"/>
    <w:rsid w:val="008B31C4"/>
    <w:rsid w:val="008E4E90"/>
    <w:rsid w:val="008E6F85"/>
    <w:rsid w:val="008F679D"/>
    <w:rsid w:val="009031F8"/>
    <w:rsid w:val="00903BC4"/>
    <w:rsid w:val="0091408B"/>
    <w:rsid w:val="009160D5"/>
    <w:rsid w:val="0092156A"/>
    <w:rsid w:val="00921D63"/>
    <w:rsid w:val="00937151"/>
    <w:rsid w:val="00956CB3"/>
    <w:rsid w:val="00966DD2"/>
    <w:rsid w:val="00991F35"/>
    <w:rsid w:val="00992286"/>
    <w:rsid w:val="009974EC"/>
    <w:rsid w:val="009A0842"/>
    <w:rsid w:val="009C79BF"/>
    <w:rsid w:val="009C7B03"/>
    <w:rsid w:val="009D3F94"/>
    <w:rsid w:val="009F4773"/>
    <w:rsid w:val="00A11DBD"/>
    <w:rsid w:val="00A2169A"/>
    <w:rsid w:val="00A25A93"/>
    <w:rsid w:val="00A36221"/>
    <w:rsid w:val="00A43C10"/>
    <w:rsid w:val="00A54BBD"/>
    <w:rsid w:val="00A648D3"/>
    <w:rsid w:val="00A90E12"/>
    <w:rsid w:val="00AB28D0"/>
    <w:rsid w:val="00AC566A"/>
    <w:rsid w:val="00AD089A"/>
    <w:rsid w:val="00AD7305"/>
    <w:rsid w:val="00AF10F9"/>
    <w:rsid w:val="00B02403"/>
    <w:rsid w:val="00B148C7"/>
    <w:rsid w:val="00B21597"/>
    <w:rsid w:val="00B24782"/>
    <w:rsid w:val="00B56649"/>
    <w:rsid w:val="00B62BD5"/>
    <w:rsid w:val="00B832B6"/>
    <w:rsid w:val="00BA29E2"/>
    <w:rsid w:val="00BB006A"/>
    <w:rsid w:val="00C07570"/>
    <w:rsid w:val="00C32F96"/>
    <w:rsid w:val="00C34F58"/>
    <w:rsid w:val="00C439F3"/>
    <w:rsid w:val="00C5762F"/>
    <w:rsid w:val="00C70A8A"/>
    <w:rsid w:val="00CA234E"/>
    <w:rsid w:val="00CC4A2D"/>
    <w:rsid w:val="00CF318E"/>
    <w:rsid w:val="00D03674"/>
    <w:rsid w:val="00D040FB"/>
    <w:rsid w:val="00D06509"/>
    <w:rsid w:val="00D23297"/>
    <w:rsid w:val="00D918E7"/>
    <w:rsid w:val="00D91F6F"/>
    <w:rsid w:val="00DC190D"/>
    <w:rsid w:val="00E12C49"/>
    <w:rsid w:val="00E3204E"/>
    <w:rsid w:val="00E32A81"/>
    <w:rsid w:val="00E43F5C"/>
    <w:rsid w:val="00E633B1"/>
    <w:rsid w:val="00E71DD1"/>
    <w:rsid w:val="00E80F98"/>
    <w:rsid w:val="00E815D8"/>
    <w:rsid w:val="00EC2A24"/>
    <w:rsid w:val="00F00A6E"/>
    <w:rsid w:val="00F05350"/>
    <w:rsid w:val="00F07519"/>
    <w:rsid w:val="00F21988"/>
    <w:rsid w:val="00F650FA"/>
    <w:rsid w:val="00F806AE"/>
    <w:rsid w:val="00F84C4A"/>
    <w:rsid w:val="00F9749C"/>
    <w:rsid w:val="00FA2D7F"/>
    <w:rsid w:val="00FA4675"/>
    <w:rsid w:val="00FB163A"/>
    <w:rsid w:val="00FD041E"/>
    <w:rsid w:val="00FE7C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F6"/>
    <w:rPr>
      <w:sz w:val="24"/>
      <w:szCs w:val="24"/>
    </w:rPr>
  </w:style>
  <w:style w:type="paragraph" w:styleId="Heading1">
    <w:name w:val="heading 1"/>
    <w:basedOn w:val="Normal"/>
    <w:next w:val="Normal"/>
    <w:link w:val="Heading1Char"/>
    <w:qFormat/>
    <w:rsid w:val="00322414"/>
    <w:pPr>
      <w:keepNext/>
      <w:pageBreakBefore/>
      <w:spacing w:before="120" w:after="120"/>
      <w:outlineLvl w:val="0"/>
    </w:pPr>
    <w:rPr>
      <w:rFonts w:ascii="Tahoma" w:hAnsi="Tahoma" w:cs="Tahoma"/>
      <w:sz w:val="40"/>
      <w:lang w:eastAsia="en-US"/>
    </w:rPr>
  </w:style>
  <w:style w:type="paragraph" w:styleId="Heading3">
    <w:name w:val="heading 3"/>
    <w:basedOn w:val="Normal"/>
    <w:next w:val="Normal"/>
    <w:link w:val="Heading3Char"/>
    <w:qFormat/>
    <w:rsid w:val="00322414"/>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322414"/>
    <w:pPr>
      <w:keepNext/>
      <w:spacing w:before="120" w:after="120"/>
      <w:outlineLvl w:val="3"/>
    </w:pPr>
    <w:rPr>
      <w:rFonts w:ascii="Tahoma" w:hAnsi="Tahoma"/>
      <w:b/>
      <w:bCs/>
      <w:sz w:val="20"/>
      <w:lang w:eastAsia="en-US"/>
    </w:rPr>
  </w:style>
  <w:style w:type="paragraph" w:styleId="Heading5">
    <w:name w:val="heading 5"/>
    <w:basedOn w:val="Normal"/>
    <w:next w:val="Normal"/>
    <w:link w:val="Heading5Char"/>
    <w:qFormat/>
    <w:rsid w:val="00322414"/>
    <w:pPr>
      <w:keepNext/>
      <w:spacing w:before="120" w:after="120"/>
      <w:jc w:val="center"/>
      <w:outlineLvl w:val="4"/>
    </w:pPr>
    <w:rPr>
      <w:rFonts w:ascii="Tahoma" w:hAnsi="Tahoma"/>
      <w:b/>
      <w:bCs/>
      <w:sz w:val="22"/>
      <w:lang w:eastAsia="en-US"/>
    </w:rPr>
  </w:style>
  <w:style w:type="paragraph" w:styleId="Heading6">
    <w:name w:val="heading 6"/>
    <w:basedOn w:val="Normal"/>
    <w:next w:val="Normal"/>
    <w:link w:val="Heading6Char"/>
    <w:qFormat/>
    <w:rsid w:val="00322414"/>
    <w:pPr>
      <w:keepNext/>
      <w:spacing w:before="120" w:after="120"/>
      <w:jc w:val="center"/>
      <w:outlineLvl w:val="5"/>
    </w:pPr>
    <w:rPr>
      <w:rFonts w:ascii="Tahoma" w:hAnsi="Tahoma"/>
      <w:b/>
      <w:bCs/>
      <w:sz w:val="20"/>
      <w:lang w:eastAsia="en-US"/>
    </w:rPr>
  </w:style>
  <w:style w:type="paragraph" w:styleId="Heading7">
    <w:name w:val="heading 7"/>
    <w:basedOn w:val="Normal"/>
    <w:next w:val="Normal"/>
    <w:link w:val="Heading7Char"/>
    <w:qFormat/>
    <w:rsid w:val="00322414"/>
    <w:pPr>
      <w:keepNext/>
      <w:spacing w:before="120" w:after="120"/>
      <w:outlineLvl w:val="6"/>
    </w:pPr>
    <w:rPr>
      <w:rFonts w:ascii="Tahoma" w:hAnsi="Tahoma"/>
      <w:i/>
      <w:iCs/>
      <w:sz w:val="16"/>
      <w:lang w:eastAsia="en-US"/>
    </w:rPr>
  </w:style>
  <w:style w:type="paragraph" w:styleId="Heading9">
    <w:name w:val="heading 9"/>
    <w:basedOn w:val="Normal"/>
    <w:next w:val="Normal"/>
    <w:link w:val="Heading9Char"/>
    <w:qFormat/>
    <w:rsid w:val="00322414"/>
    <w:pPr>
      <w:keepNext/>
      <w:spacing w:before="120" w:after="120"/>
      <w:jc w:val="center"/>
      <w:outlineLvl w:val="8"/>
    </w:pPr>
    <w:rPr>
      <w:rFonts w:ascii="Tahoma" w:hAnsi="Tahoma"/>
      <w:i/>
      <w:iCs/>
      <w:sz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s">
    <w:name w:val="Quotations"/>
    <w:basedOn w:val="BodyTextIndent"/>
    <w:rsid w:val="00D03674"/>
    <w:pPr>
      <w:spacing w:before="120" w:after="60"/>
      <w:ind w:left="720"/>
    </w:pPr>
    <w:rPr>
      <w:i/>
      <w:lang w:eastAsia="en-US"/>
    </w:rPr>
  </w:style>
  <w:style w:type="paragraph" w:styleId="BodyTextIndent">
    <w:name w:val="Body Text Indent"/>
    <w:basedOn w:val="Normal"/>
    <w:link w:val="BodyTextIndentChar"/>
    <w:uiPriority w:val="99"/>
    <w:semiHidden/>
    <w:unhideWhenUsed/>
    <w:rsid w:val="00D03674"/>
    <w:pPr>
      <w:spacing w:after="120"/>
      <w:ind w:left="283"/>
    </w:pPr>
  </w:style>
  <w:style w:type="character" w:customStyle="1" w:styleId="BodyTextIndentChar">
    <w:name w:val="Body Text Indent Char"/>
    <w:basedOn w:val="DefaultParagraphFont"/>
    <w:link w:val="BodyTextIndent"/>
    <w:uiPriority w:val="99"/>
    <w:semiHidden/>
    <w:rsid w:val="00D03674"/>
    <w:rPr>
      <w:sz w:val="24"/>
      <w:szCs w:val="24"/>
    </w:rPr>
  </w:style>
  <w:style w:type="paragraph" w:customStyle="1" w:styleId="CharQuote">
    <w:name w:val="CharQuote"/>
    <w:basedOn w:val="Quotations"/>
    <w:rsid w:val="00B02403"/>
    <w:pPr>
      <w:spacing w:before="0" w:after="120"/>
    </w:pPr>
    <w:rPr>
      <w:sz w:val="20"/>
    </w:rPr>
  </w:style>
  <w:style w:type="paragraph" w:styleId="BodyText2">
    <w:name w:val="Body Text 2"/>
    <w:basedOn w:val="Normal"/>
    <w:link w:val="BodyText2Char"/>
    <w:semiHidden/>
    <w:unhideWhenUsed/>
    <w:rsid w:val="00322414"/>
    <w:pPr>
      <w:spacing w:after="120" w:line="480" w:lineRule="auto"/>
    </w:pPr>
  </w:style>
  <w:style w:type="character" w:customStyle="1" w:styleId="BodyText2Char">
    <w:name w:val="Body Text 2 Char"/>
    <w:basedOn w:val="DefaultParagraphFont"/>
    <w:link w:val="BodyText2"/>
    <w:semiHidden/>
    <w:rsid w:val="00322414"/>
    <w:rPr>
      <w:sz w:val="24"/>
      <w:szCs w:val="24"/>
    </w:rPr>
  </w:style>
  <w:style w:type="paragraph" w:styleId="BodyText3">
    <w:name w:val="Body Text 3"/>
    <w:basedOn w:val="Normal"/>
    <w:link w:val="BodyText3Char"/>
    <w:semiHidden/>
    <w:unhideWhenUsed/>
    <w:rsid w:val="00322414"/>
    <w:pPr>
      <w:spacing w:after="120"/>
    </w:pPr>
    <w:rPr>
      <w:sz w:val="16"/>
      <w:szCs w:val="16"/>
    </w:rPr>
  </w:style>
  <w:style w:type="character" w:customStyle="1" w:styleId="BodyText3Char">
    <w:name w:val="Body Text 3 Char"/>
    <w:basedOn w:val="DefaultParagraphFont"/>
    <w:link w:val="BodyText3"/>
    <w:semiHidden/>
    <w:rsid w:val="00322414"/>
    <w:rPr>
      <w:sz w:val="16"/>
      <w:szCs w:val="16"/>
    </w:rPr>
  </w:style>
  <w:style w:type="paragraph" w:styleId="BodyTextIndent2">
    <w:name w:val="Body Text Indent 2"/>
    <w:basedOn w:val="Normal"/>
    <w:link w:val="BodyTextIndent2Char"/>
    <w:uiPriority w:val="99"/>
    <w:semiHidden/>
    <w:unhideWhenUsed/>
    <w:rsid w:val="00322414"/>
    <w:pPr>
      <w:spacing w:after="120" w:line="480" w:lineRule="auto"/>
      <w:ind w:left="283"/>
    </w:pPr>
  </w:style>
  <w:style w:type="character" w:customStyle="1" w:styleId="BodyTextIndent2Char">
    <w:name w:val="Body Text Indent 2 Char"/>
    <w:basedOn w:val="DefaultParagraphFont"/>
    <w:link w:val="BodyTextIndent2"/>
    <w:uiPriority w:val="99"/>
    <w:semiHidden/>
    <w:rsid w:val="00322414"/>
    <w:rPr>
      <w:sz w:val="24"/>
      <w:szCs w:val="24"/>
    </w:rPr>
  </w:style>
  <w:style w:type="character" w:customStyle="1" w:styleId="Heading1Char">
    <w:name w:val="Heading 1 Char"/>
    <w:basedOn w:val="DefaultParagraphFont"/>
    <w:link w:val="Heading1"/>
    <w:rsid w:val="00322414"/>
    <w:rPr>
      <w:rFonts w:ascii="Tahoma" w:hAnsi="Tahoma" w:cs="Tahoma"/>
      <w:sz w:val="40"/>
      <w:szCs w:val="24"/>
      <w:lang w:eastAsia="en-US"/>
    </w:rPr>
  </w:style>
  <w:style w:type="character" w:customStyle="1" w:styleId="Heading3Char">
    <w:name w:val="Heading 3 Char"/>
    <w:basedOn w:val="DefaultParagraphFont"/>
    <w:link w:val="Heading3"/>
    <w:rsid w:val="00322414"/>
    <w:rPr>
      <w:rFonts w:ascii="Arial" w:hAnsi="Arial" w:cs="Arial"/>
      <w:b/>
      <w:bCs/>
      <w:sz w:val="26"/>
      <w:szCs w:val="26"/>
      <w:lang w:eastAsia="en-US"/>
    </w:rPr>
  </w:style>
  <w:style w:type="character" w:customStyle="1" w:styleId="Heading4Char">
    <w:name w:val="Heading 4 Char"/>
    <w:basedOn w:val="DefaultParagraphFont"/>
    <w:link w:val="Heading4"/>
    <w:rsid w:val="00322414"/>
    <w:rPr>
      <w:rFonts w:ascii="Tahoma" w:hAnsi="Tahoma"/>
      <w:b/>
      <w:bCs/>
      <w:szCs w:val="24"/>
      <w:lang w:eastAsia="en-US"/>
    </w:rPr>
  </w:style>
  <w:style w:type="character" w:customStyle="1" w:styleId="Heading5Char">
    <w:name w:val="Heading 5 Char"/>
    <w:basedOn w:val="DefaultParagraphFont"/>
    <w:link w:val="Heading5"/>
    <w:rsid w:val="00322414"/>
    <w:rPr>
      <w:rFonts w:ascii="Tahoma" w:hAnsi="Tahoma"/>
      <w:b/>
      <w:bCs/>
      <w:sz w:val="22"/>
      <w:szCs w:val="24"/>
      <w:lang w:eastAsia="en-US"/>
    </w:rPr>
  </w:style>
  <w:style w:type="character" w:customStyle="1" w:styleId="Heading6Char">
    <w:name w:val="Heading 6 Char"/>
    <w:basedOn w:val="DefaultParagraphFont"/>
    <w:link w:val="Heading6"/>
    <w:rsid w:val="00322414"/>
    <w:rPr>
      <w:rFonts w:ascii="Tahoma" w:hAnsi="Tahoma"/>
      <w:b/>
      <w:bCs/>
      <w:szCs w:val="24"/>
      <w:lang w:eastAsia="en-US"/>
    </w:rPr>
  </w:style>
  <w:style w:type="character" w:customStyle="1" w:styleId="Heading7Char">
    <w:name w:val="Heading 7 Char"/>
    <w:basedOn w:val="DefaultParagraphFont"/>
    <w:link w:val="Heading7"/>
    <w:rsid w:val="00322414"/>
    <w:rPr>
      <w:rFonts w:ascii="Tahoma" w:hAnsi="Tahoma"/>
      <w:i/>
      <w:iCs/>
      <w:sz w:val="16"/>
      <w:szCs w:val="24"/>
      <w:lang w:eastAsia="en-US"/>
    </w:rPr>
  </w:style>
  <w:style w:type="character" w:customStyle="1" w:styleId="Heading9Char">
    <w:name w:val="Heading 9 Char"/>
    <w:basedOn w:val="DefaultParagraphFont"/>
    <w:link w:val="Heading9"/>
    <w:rsid w:val="00322414"/>
    <w:rPr>
      <w:rFonts w:ascii="Tahoma" w:hAnsi="Tahoma"/>
      <w:i/>
      <w:iCs/>
      <w:sz w:val="16"/>
      <w:szCs w:val="24"/>
      <w:lang w:eastAsia="en-US"/>
    </w:rPr>
  </w:style>
  <w:style w:type="paragraph" w:styleId="FootnoteText">
    <w:name w:val="footnote text"/>
    <w:basedOn w:val="Normal"/>
    <w:link w:val="FootnoteTextChar"/>
    <w:semiHidden/>
    <w:rsid w:val="00322414"/>
    <w:pPr>
      <w:spacing w:before="120" w:after="120"/>
    </w:pPr>
    <w:rPr>
      <w:rFonts w:ascii="Tahoma" w:hAnsi="Tahoma"/>
      <w:sz w:val="20"/>
      <w:szCs w:val="20"/>
      <w:lang w:eastAsia="en-US"/>
    </w:rPr>
  </w:style>
  <w:style w:type="character" w:customStyle="1" w:styleId="FootnoteTextChar">
    <w:name w:val="Footnote Text Char"/>
    <w:basedOn w:val="DefaultParagraphFont"/>
    <w:link w:val="FootnoteText"/>
    <w:semiHidden/>
    <w:rsid w:val="00322414"/>
    <w:rPr>
      <w:rFonts w:ascii="Tahoma" w:hAnsi="Tahoma"/>
      <w:lang w:eastAsia="en-US"/>
    </w:rPr>
  </w:style>
  <w:style w:type="character" w:styleId="Hyperlink">
    <w:name w:val="Hyperlink"/>
    <w:basedOn w:val="DefaultParagraphFont"/>
    <w:uiPriority w:val="99"/>
    <w:unhideWhenUsed/>
    <w:rsid w:val="002A4BBE"/>
    <w:rPr>
      <w:color w:val="0000FF"/>
      <w:u w:val="single"/>
    </w:rPr>
  </w:style>
  <w:style w:type="character" w:styleId="FootnoteReference">
    <w:name w:val="footnote reference"/>
    <w:basedOn w:val="DefaultParagraphFont"/>
    <w:uiPriority w:val="99"/>
    <w:semiHidden/>
    <w:unhideWhenUsed/>
    <w:rsid w:val="00894CD4"/>
    <w:rPr>
      <w:vertAlign w:val="superscript"/>
    </w:rPr>
  </w:style>
  <w:style w:type="paragraph" w:styleId="Header">
    <w:name w:val="header"/>
    <w:basedOn w:val="Normal"/>
    <w:link w:val="HeaderChar"/>
    <w:unhideWhenUsed/>
    <w:rsid w:val="003B49E0"/>
    <w:pPr>
      <w:tabs>
        <w:tab w:val="center" w:pos="4513"/>
        <w:tab w:val="right" w:pos="9026"/>
      </w:tabs>
    </w:pPr>
  </w:style>
  <w:style w:type="character" w:customStyle="1" w:styleId="HeaderChar">
    <w:name w:val="Header Char"/>
    <w:basedOn w:val="DefaultParagraphFont"/>
    <w:link w:val="Header"/>
    <w:rsid w:val="003B49E0"/>
    <w:rPr>
      <w:sz w:val="24"/>
      <w:szCs w:val="24"/>
    </w:rPr>
  </w:style>
  <w:style w:type="paragraph" w:styleId="Footer">
    <w:name w:val="footer"/>
    <w:basedOn w:val="Normal"/>
    <w:link w:val="FooterChar"/>
    <w:uiPriority w:val="99"/>
    <w:semiHidden/>
    <w:unhideWhenUsed/>
    <w:rsid w:val="003B49E0"/>
    <w:pPr>
      <w:tabs>
        <w:tab w:val="center" w:pos="4513"/>
        <w:tab w:val="right" w:pos="9026"/>
      </w:tabs>
    </w:pPr>
  </w:style>
  <w:style w:type="character" w:customStyle="1" w:styleId="FooterChar">
    <w:name w:val="Footer Char"/>
    <w:basedOn w:val="DefaultParagraphFont"/>
    <w:link w:val="Footer"/>
    <w:uiPriority w:val="99"/>
    <w:semiHidden/>
    <w:rsid w:val="003B49E0"/>
    <w:rPr>
      <w:sz w:val="24"/>
      <w:szCs w:val="24"/>
    </w:rPr>
  </w:style>
  <w:style w:type="paragraph" w:styleId="BalloonText">
    <w:name w:val="Balloon Text"/>
    <w:basedOn w:val="Normal"/>
    <w:link w:val="BalloonTextChar"/>
    <w:uiPriority w:val="99"/>
    <w:semiHidden/>
    <w:unhideWhenUsed/>
    <w:rsid w:val="0064695E"/>
    <w:rPr>
      <w:rFonts w:ascii="Tahoma" w:hAnsi="Tahoma" w:cs="Tahoma"/>
      <w:sz w:val="16"/>
      <w:szCs w:val="16"/>
    </w:rPr>
  </w:style>
  <w:style w:type="character" w:customStyle="1" w:styleId="BalloonTextChar">
    <w:name w:val="Balloon Text Char"/>
    <w:basedOn w:val="DefaultParagraphFont"/>
    <w:link w:val="BalloonText"/>
    <w:uiPriority w:val="99"/>
    <w:semiHidden/>
    <w:rsid w:val="00646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9921-0636-44E7-ABAA-7214F4EC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2261</Words>
  <Characters>11375</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Case 8</vt:lpstr>
    </vt:vector>
  </TitlesOfParts>
  <Company>Hewlett-Packard Company</Company>
  <LinksUpToDate>false</LinksUpToDate>
  <CharactersWithSpaces>13609</CharactersWithSpaces>
  <SharedDoc>false</SharedDoc>
  <HLinks>
    <vt:vector size="6" baseType="variant">
      <vt:variant>
        <vt:i4>2555949</vt:i4>
      </vt:variant>
      <vt:variant>
        <vt:i4>0</vt:i4>
      </vt:variant>
      <vt:variant>
        <vt:i4>0</vt:i4>
      </vt:variant>
      <vt:variant>
        <vt:i4>5</vt:i4>
      </vt:variant>
      <vt:variant>
        <vt:lpwstr>http://creativecommons.org/licenses/by-nd/3.0/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8</dc:title>
  <dc:creator>COULE1</dc:creator>
  <cp:lastModifiedBy>Audrey</cp:lastModifiedBy>
  <cp:revision>2</cp:revision>
  <dcterms:created xsi:type="dcterms:W3CDTF">2016-01-08T14:17:00Z</dcterms:created>
  <dcterms:modified xsi:type="dcterms:W3CDTF">2016-01-08T14:17:00Z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